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F40" w:rsidRPr="00E167F3" w:rsidRDefault="00F83F40" w:rsidP="00F83F40">
      <w:pPr>
        <w:shd w:val="clear" w:color="auto" w:fill="FFFFFF"/>
        <w:spacing w:after="0" w:line="240" w:lineRule="auto"/>
        <w:rPr>
          <w:rFonts w:asciiTheme="majorHAnsi" w:hAnsiTheme="majorHAnsi" w:cs="Arial"/>
          <w:b/>
          <w:color w:val="222222"/>
          <w:sz w:val="24"/>
          <w:szCs w:val="24"/>
        </w:rPr>
      </w:pPr>
      <w:r w:rsidRPr="00E167F3">
        <w:rPr>
          <w:rFonts w:asciiTheme="majorHAnsi" w:hAnsiTheme="majorHAnsi" w:cs="Arial"/>
          <w:b/>
          <w:color w:val="222222"/>
          <w:sz w:val="24"/>
          <w:szCs w:val="24"/>
        </w:rPr>
        <w:t>Docentes ativos e aposentados devem responder questionário que solicita informações sobre atividades realizadas com Patrimônio Genético</w:t>
      </w:r>
      <w:r w:rsidR="00E167F3">
        <w:rPr>
          <w:rFonts w:asciiTheme="majorHAnsi" w:hAnsiTheme="majorHAnsi" w:cs="Arial"/>
          <w:b/>
          <w:color w:val="222222"/>
          <w:sz w:val="24"/>
          <w:szCs w:val="24"/>
        </w:rPr>
        <w:t xml:space="preserve"> (PG)</w:t>
      </w:r>
      <w:r w:rsidRPr="00E167F3">
        <w:rPr>
          <w:rFonts w:asciiTheme="majorHAnsi" w:hAnsiTheme="majorHAnsi" w:cs="Arial"/>
          <w:b/>
          <w:color w:val="222222"/>
          <w:sz w:val="24"/>
          <w:szCs w:val="24"/>
        </w:rPr>
        <w:t xml:space="preserve"> e Conhecimento Tradicional Associado</w:t>
      </w:r>
      <w:r w:rsidR="00E167F3">
        <w:rPr>
          <w:rFonts w:asciiTheme="majorHAnsi" w:hAnsiTheme="majorHAnsi" w:cs="Arial"/>
          <w:b/>
          <w:color w:val="222222"/>
          <w:sz w:val="24"/>
          <w:szCs w:val="24"/>
        </w:rPr>
        <w:t xml:space="preserve"> (CTA)</w:t>
      </w:r>
    </w:p>
    <w:p w:rsidR="00F83F40" w:rsidRPr="00E167F3" w:rsidRDefault="00F83F40" w:rsidP="00F83F40">
      <w:pPr>
        <w:shd w:val="clear" w:color="auto" w:fill="FFFFFF"/>
        <w:spacing w:after="0" w:line="240" w:lineRule="auto"/>
        <w:rPr>
          <w:rFonts w:asciiTheme="majorHAnsi" w:hAnsiTheme="majorHAnsi" w:cs="Arial"/>
          <w:color w:val="222222"/>
          <w:sz w:val="24"/>
          <w:szCs w:val="24"/>
        </w:rPr>
      </w:pPr>
    </w:p>
    <w:p w:rsidR="00F83F40" w:rsidRPr="00E167F3" w:rsidRDefault="00F83F40" w:rsidP="00F83F40">
      <w:pPr>
        <w:shd w:val="clear" w:color="auto" w:fill="FFFFFF"/>
        <w:spacing w:after="0" w:line="240" w:lineRule="auto"/>
        <w:rPr>
          <w:rFonts w:asciiTheme="majorHAnsi" w:hAnsiTheme="majorHAnsi" w:cs="Arial"/>
          <w:color w:val="222222"/>
          <w:sz w:val="24"/>
          <w:szCs w:val="24"/>
        </w:rPr>
      </w:pPr>
    </w:p>
    <w:p w:rsidR="00F83F40" w:rsidRPr="002D571F" w:rsidRDefault="00F83F40" w:rsidP="00F83F40">
      <w:pPr>
        <w:shd w:val="clear" w:color="auto" w:fill="FFFFFF"/>
        <w:spacing w:after="0" w:line="240" w:lineRule="auto"/>
        <w:rPr>
          <w:rFonts w:asciiTheme="majorHAnsi" w:hAnsiTheme="majorHAnsi" w:cs="Arial"/>
          <w:color w:val="0D0D0D" w:themeColor="text1" w:themeTint="F2"/>
          <w:sz w:val="24"/>
          <w:szCs w:val="24"/>
        </w:rPr>
      </w:pPr>
      <w:r w:rsidRPr="002D571F">
        <w:rPr>
          <w:rFonts w:asciiTheme="majorHAnsi" w:hAnsiTheme="majorHAnsi" w:cs="Arial"/>
          <w:color w:val="0D0D0D" w:themeColor="text1" w:themeTint="F2"/>
          <w:sz w:val="24"/>
          <w:szCs w:val="24"/>
        </w:rPr>
        <w:t xml:space="preserve">A </w:t>
      </w:r>
      <w:r w:rsidR="00A17DCC">
        <w:rPr>
          <w:rFonts w:asciiTheme="majorHAnsi" w:hAnsiTheme="majorHAnsi" w:cs="Arial"/>
          <w:color w:val="0D0D0D" w:themeColor="text1" w:themeTint="F2"/>
          <w:sz w:val="24"/>
          <w:szCs w:val="24"/>
        </w:rPr>
        <w:t xml:space="preserve">Lei nº 13.123, de 20 de maio de </w:t>
      </w:r>
      <w:r w:rsidR="008D42BB">
        <w:rPr>
          <w:rFonts w:asciiTheme="majorHAnsi" w:hAnsiTheme="majorHAnsi" w:cs="Arial"/>
          <w:color w:val="0D0D0D" w:themeColor="text1" w:themeTint="F2"/>
          <w:sz w:val="24"/>
          <w:szCs w:val="24"/>
        </w:rPr>
        <w:t>2015</w:t>
      </w:r>
      <w:r w:rsidRPr="002D571F">
        <w:rPr>
          <w:rFonts w:asciiTheme="majorHAnsi" w:hAnsiTheme="majorHAnsi" w:cs="Arial"/>
          <w:color w:val="0D0D0D" w:themeColor="text1" w:themeTint="F2"/>
          <w:sz w:val="24"/>
          <w:szCs w:val="24"/>
        </w:rPr>
        <w:t xml:space="preserve">, também conhecida como Lei da Biodiversidade, </w:t>
      </w:r>
      <w:r w:rsidR="00E167F3" w:rsidRPr="002D571F">
        <w:rPr>
          <w:rFonts w:asciiTheme="majorHAnsi" w:hAnsiTheme="majorHAnsi" w:cs="Arial"/>
          <w:color w:val="0D0D0D" w:themeColor="text1" w:themeTint="F2"/>
          <w:sz w:val="24"/>
          <w:szCs w:val="24"/>
        </w:rPr>
        <w:t xml:space="preserve">dispõe sobre </w:t>
      </w:r>
      <w:r w:rsidR="00844D8A" w:rsidRPr="002D571F">
        <w:rPr>
          <w:rFonts w:asciiTheme="majorHAnsi" w:hAnsiTheme="majorHAnsi" w:cs="Arial"/>
          <w:color w:val="0D0D0D" w:themeColor="text1" w:themeTint="F2"/>
          <w:sz w:val="24"/>
          <w:szCs w:val="24"/>
        </w:rPr>
        <w:t xml:space="preserve">o acesso ao Patrimônio Genético, </w:t>
      </w:r>
      <w:r w:rsidR="00E167F3" w:rsidRPr="002D571F">
        <w:rPr>
          <w:rFonts w:asciiTheme="majorHAnsi" w:hAnsiTheme="majorHAnsi" w:cs="Arial"/>
          <w:color w:val="0D0D0D" w:themeColor="text1" w:themeTint="F2"/>
          <w:sz w:val="24"/>
          <w:szCs w:val="24"/>
        </w:rPr>
        <w:t>a</w:t>
      </w:r>
      <w:r w:rsidR="00844D8A" w:rsidRPr="002D571F">
        <w:rPr>
          <w:rFonts w:asciiTheme="majorHAnsi" w:hAnsiTheme="majorHAnsi" w:cs="Arial"/>
          <w:color w:val="0D0D0D" w:themeColor="text1" w:themeTint="F2"/>
          <w:sz w:val="24"/>
          <w:szCs w:val="24"/>
        </w:rPr>
        <w:t xml:space="preserve"> proteção e o acesso ao Conhecimento Tradicional Associado e </w:t>
      </w:r>
      <w:r w:rsidR="00E167F3" w:rsidRPr="002D571F">
        <w:rPr>
          <w:rFonts w:asciiTheme="majorHAnsi" w:hAnsiTheme="majorHAnsi" w:cs="Arial"/>
          <w:color w:val="0D0D0D" w:themeColor="text1" w:themeTint="F2"/>
          <w:sz w:val="24"/>
          <w:szCs w:val="24"/>
        </w:rPr>
        <w:t>a</w:t>
      </w:r>
      <w:r w:rsidR="00844D8A" w:rsidRPr="002D571F">
        <w:rPr>
          <w:rFonts w:asciiTheme="majorHAnsi" w:hAnsiTheme="majorHAnsi" w:cs="Arial"/>
          <w:color w:val="0D0D0D" w:themeColor="text1" w:themeTint="F2"/>
          <w:sz w:val="24"/>
          <w:szCs w:val="24"/>
        </w:rPr>
        <w:t xml:space="preserve"> repartição de benefícios visando </w:t>
      </w:r>
      <w:proofErr w:type="gramStart"/>
      <w:r w:rsidR="00844D8A" w:rsidRPr="002D571F">
        <w:rPr>
          <w:rFonts w:asciiTheme="majorHAnsi" w:hAnsiTheme="majorHAnsi" w:cs="Arial"/>
          <w:color w:val="0D0D0D" w:themeColor="text1" w:themeTint="F2"/>
          <w:sz w:val="24"/>
          <w:szCs w:val="24"/>
        </w:rPr>
        <w:t>a</w:t>
      </w:r>
      <w:proofErr w:type="gramEnd"/>
      <w:r w:rsidR="00844D8A" w:rsidRPr="002D571F">
        <w:rPr>
          <w:rFonts w:asciiTheme="majorHAnsi" w:hAnsiTheme="majorHAnsi" w:cs="Arial"/>
          <w:color w:val="0D0D0D" w:themeColor="text1" w:themeTint="F2"/>
          <w:sz w:val="24"/>
          <w:szCs w:val="24"/>
        </w:rPr>
        <w:t xml:space="preserve"> conservação e uso sustentável da biodiversidade brasileira.</w:t>
      </w:r>
    </w:p>
    <w:p w:rsidR="006D6541" w:rsidRDefault="00844D8A" w:rsidP="00EC63AD">
      <w:pPr>
        <w:shd w:val="clear" w:color="auto" w:fill="FFFFFF"/>
        <w:spacing w:after="0" w:line="240" w:lineRule="auto"/>
        <w:rPr>
          <w:rFonts w:asciiTheme="majorHAnsi" w:hAnsiTheme="majorHAnsi" w:cs="Arial"/>
          <w:color w:val="0D0D0D" w:themeColor="text1" w:themeTint="F2"/>
          <w:sz w:val="24"/>
          <w:szCs w:val="24"/>
          <w:shd w:val="clear" w:color="auto" w:fill="FFFFFF"/>
        </w:rPr>
      </w:pPr>
      <w:r w:rsidRPr="002D571F">
        <w:rPr>
          <w:rFonts w:asciiTheme="majorHAnsi" w:hAnsiTheme="majorHAnsi" w:cs="Arial"/>
          <w:color w:val="0D0D0D" w:themeColor="text1" w:themeTint="F2"/>
          <w:sz w:val="24"/>
          <w:szCs w:val="24"/>
        </w:rPr>
        <w:t xml:space="preserve">A norma prevê que </w:t>
      </w:r>
      <w:r w:rsidR="00E167F3" w:rsidRPr="002D571F">
        <w:rPr>
          <w:rFonts w:asciiTheme="majorHAnsi" w:hAnsiTheme="majorHAnsi" w:cs="Arial"/>
          <w:color w:val="0D0D0D" w:themeColor="text1" w:themeTint="F2"/>
          <w:sz w:val="24"/>
          <w:szCs w:val="24"/>
        </w:rPr>
        <w:t>todo</w:t>
      </w:r>
      <w:r w:rsidRPr="002D571F">
        <w:rPr>
          <w:rFonts w:asciiTheme="majorHAnsi" w:hAnsiTheme="majorHAnsi" w:cs="Arial"/>
          <w:color w:val="0D0D0D" w:themeColor="text1" w:themeTint="F2"/>
          <w:sz w:val="24"/>
          <w:szCs w:val="24"/>
        </w:rPr>
        <w:t xml:space="preserve"> acesso ao pa</w:t>
      </w:r>
      <w:r w:rsidR="00E167F3" w:rsidRPr="002D571F">
        <w:rPr>
          <w:rFonts w:asciiTheme="majorHAnsi" w:hAnsiTheme="majorHAnsi" w:cs="Arial"/>
          <w:color w:val="0D0D0D" w:themeColor="text1" w:themeTint="F2"/>
          <w:sz w:val="24"/>
          <w:szCs w:val="24"/>
        </w:rPr>
        <w:t>trimônio genético existente no p</w:t>
      </w:r>
      <w:r w:rsidRPr="002D571F">
        <w:rPr>
          <w:rFonts w:asciiTheme="majorHAnsi" w:hAnsiTheme="majorHAnsi" w:cs="Arial"/>
          <w:color w:val="0D0D0D" w:themeColor="text1" w:themeTint="F2"/>
          <w:sz w:val="24"/>
          <w:szCs w:val="24"/>
        </w:rPr>
        <w:t xml:space="preserve">aís ou ao conhecimento tradicional associado para fins de pesquisa ou desenvolvimento tecnológico e a exploração econômica de produto acabado ou material reprodutivo </w:t>
      </w:r>
      <w:r w:rsidR="00E167F3" w:rsidRPr="002D571F">
        <w:rPr>
          <w:rFonts w:asciiTheme="majorHAnsi" w:hAnsiTheme="majorHAnsi" w:cs="Arial"/>
          <w:color w:val="0D0D0D" w:themeColor="text1" w:themeTint="F2"/>
          <w:sz w:val="24"/>
          <w:szCs w:val="24"/>
        </w:rPr>
        <w:t xml:space="preserve">que seja </w:t>
      </w:r>
      <w:r w:rsidRPr="002D571F">
        <w:rPr>
          <w:rFonts w:asciiTheme="majorHAnsi" w:hAnsiTheme="majorHAnsi" w:cs="Arial"/>
          <w:color w:val="0D0D0D" w:themeColor="text1" w:themeTint="F2"/>
          <w:sz w:val="24"/>
          <w:szCs w:val="24"/>
        </w:rPr>
        <w:t>oriundo desse acesso somente serão realizados mediante cadas</w:t>
      </w:r>
      <w:r w:rsidR="00E167F3" w:rsidRPr="002D571F">
        <w:rPr>
          <w:rFonts w:asciiTheme="majorHAnsi" w:hAnsiTheme="majorHAnsi" w:cs="Arial"/>
          <w:color w:val="0D0D0D" w:themeColor="text1" w:themeTint="F2"/>
          <w:sz w:val="24"/>
          <w:szCs w:val="24"/>
        </w:rPr>
        <w:t>tro, autorização ou notificação (art. 3º).  Portanto,</w:t>
      </w:r>
      <w:r w:rsidR="00352938" w:rsidRPr="002D571F">
        <w:rPr>
          <w:rFonts w:asciiTheme="majorHAnsi" w:hAnsiTheme="majorHAnsi" w:cs="Arial"/>
          <w:color w:val="0D0D0D" w:themeColor="text1" w:themeTint="F2"/>
          <w:sz w:val="24"/>
          <w:szCs w:val="24"/>
        </w:rPr>
        <w:t xml:space="preserve"> as atividades de pesquisa e desenvolvimento tecnológico </w:t>
      </w:r>
      <w:r w:rsidR="006D6541">
        <w:rPr>
          <w:rFonts w:asciiTheme="majorHAnsi" w:hAnsiTheme="majorHAnsi" w:cs="Arial"/>
          <w:color w:val="0D0D0D" w:themeColor="text1" w:themeTint="F2"/>
          <w:sz w:val="24"/>
          <w:szCs w:val="24"/>
        </w:rPr>
        <w:t>realizadas,</w:t>
      </w:r>
      <w:r w:rsidR="00352938" w:rsidRPr="002D571F">
        <w:rPr>
          <w:rFonts w:asciiTheme="majorHAnsi" w:hAnsiTheme="majorHAnsi" w:cs="Arial"/>
          <w:color w:val="0D0D0D" w:themeColor="text1" w:themeTint="F2"/>
          <w:sz w:val="24"/>
          <w:szCs w:val="24"/>
        </w:rPr>
        <w:t xml:space="preserve"> </w:t>
      </w:r>
      <w:r w:rsidR="006D6541" w:rsidRPr="002D571F">
        <w:rPr>
          <w:rFonts w:asciiTheme="majorHAnsi" w:hAnsiTheme="majorHAnsi" w:cs="Arial"/>
          <w:color w:val="0D0D0D" w:themeColor="text1" w:themeTint="F2"/>
          <w:sz w:val="24"/>
          <w:szCs w:val="24"/>
        </w:rPr>
        <w:t>após 16 de novembro de 2015</w:t>
      </w:r>
      <w:r w:rsidR="006D6541">
        <w:rPr>
          <w:rFonts w:asciiTheme="majorHAnsi" w:hAnsiTheme="majorHAnsi" w:cs="Arial"/>
          <w:color w:val="0D0D0D" w:themeColor="text1" w:themeTint="F2"/>
          <w:sz w:val="24"/>
          <w:szCs w:val="24"/>
        </w:rPr>
        <w:t>,</w:t>
      </w:r>
      <w:r w:rsidR="006D6541" w:rsidRPr="002D571F">
        <w:rPr>
          <w:rFonts w:asciiTheme="majorHAnsi" w:hAnsiTheme="majorHAnsi" w:cs="Arial"/>
          <w:color w:val="0D0D0D" w:themeColor="text1" w:themeTint="F2"/>
          <w:sz w:val="24"/>
          <w:szCs w:val="24"/>
        </w:rPr>
        <w:t xml:space="preserve"> </w:t>
      </w:r>
      <w:r w:rsidR="00352938" w:rsidRPr="002D571F">
        <w:rPr>
          <w:rFonts w:asciiTheme="majorHAnsi" w:hAnsiTheme="majorHAnsi" w:cs="Arial"/>
          <w:color w:val="0D0D0D" w:themeColor="text1" w:themeTint="F2"/>
          <w:sz w:val="24"/>
          <w:szCs w:val="24"/>
        </w:rPr>
        <w:t>com patrimônio genético brasileiro ou conhecimento tradicional associado devem ser cadastradas</w:t>
      </w:r>
      <w:r w:rsidR="006D6541">
        <w:rPr>
          <w:rFonts w:asciiTheme="majorHAnsi" w:hAnsiTheme="majorHAnsi" w:cs="Arial"/>
          <w:color w:val="0D0D0D" w:themeColor="text1" w:themeTint="F2"/>
          <w:sz w:val="24"/>
          <w:szCs w:val="24"/>
        </w:rPr>
        <w:t>, dentro</w:t>
      </w:r>
      <w:r w:rsidR="00352938" w:rsidRPr="002D571F">
        <w:rPr>
          <w:rFonts w:asciiTheme="majorHAnsi" w:hAnsiTheme="majorHAnsi" w:cs="Arial"/>
          <w:color w:val="0D0D0D" w:themeColor="text1" w:themeTint="F2"/>
          <w:sz w:val="24"/>
          <w:szCs w:val="24"/>
        </w:rPr>
        <w:t xml:space="preserve"> </w:t>
      </w:r>
      <w:r w:rsidR="006D6541">
        <w:rPr>
          <w:rFonts w:asciiTheme="majorHAnsi" w:hAnsiTheme="majorHAnsi" w:cs="Arial"/>
          <w:color w:val="0D0D0D" w:themeColor="text1" w:themeTint="F2"/>
          <w:sz w:val="24"/>
          <w:szCs w:val="24"/>
        </w:rPr>
        <w:t>d</w:t>
      </w:r>
      <w:r w:rsidR="00352938" w:rsidRPr="002D571F">
        <w:rPr>
          <w:rFonts w:asciiTheme="majorHAnsi" w:hAnsiTheme="majorHAnsi" w:cs="Arial"/>
          <w:color w:val="0D0D0D" w:themeColor="text1" w:themeTint="F2"/>
          <w:sz w:val="24"/>
          <w:szCs w:val="24"/>
        </w:rPr>
        <w:t>os prazos previstos n</w:t>
      </w:r>
      <w:r w:rsidR="006D6541">
        <w:rPr>
          <w:rFonts w:asciiTheme="majorHAnsi" w:hAnsiTheme="majorHAnsi" w:cs="Arial"/>
          <w:color w:val="0D0D0D" w:themeColor="text1" w:themeTint="F2"/>
          <w:sz w:val="24"/>
          <w:szCs w:val="24"/>
        </w:rPr>
        <w:t xml:space="preserve">o art. 12 da Lei nº 13.123/2015, no </w:t>
      </w:r>
      <w:proofErr w:type="gramStart"/>
      <w:r w:rsidR="006D6541">
        <w:rPr>
          <w:rFonts w:asciiTheme="majorHAnsi" w:hAnsiTheme="majorHAnsi" w:cs="Arial"/>
          <w:color w:val="0D0D0D" w:themeColor="text1" w:themeTint="F2"/>
          <w:sz w:val="24"/>
          <w:szCs w:val="24"/>
          <w:shd w:val="clear" w:color="auto" w:fill="FFFFFF"/>
        </w:rPr>
        <w:t>SisGen</w:t>
      </w:r>
      <w:proofErr w:type="gramEnd"/>
      <w:r w:rsidR="006D6541">
        <w:rPr>
          <w:rFonts w:asciiTheme="majorHAnsi" w:hAnsiTheme="majorHAnsi" w:cs="Arial"/>
          <w:color w:val="0D0D0D" w:themeColor="text1" w:themeTint="F2"/>
          <w:sz w:val="24"/>
          <w:szCs w:val="24"/>
          <w:shd w:val="clear" w:color="auto" w:fill="FFFFFF"/>
        </w:rPr>
        <w:t xml:space="preserve"> </w:t>
      </w:r>
      <w:r w:rsidR="00352938" w:rsidRPr="002D571F">
        <w:rPr>
          <w:rFonts w:asciiTheme="majorHAnsi" w:hAnsiTheme="majorHAnsi" w:cs="Arial"/>
          <w:color w:val="0D0D0D" w:themeColor="text1" w:themeTint="F2"/>
          <w:sz w:val="24"/>
          <w:szCs w:val="24"/>
          <w:shd w:val="clear" w:color="auto" w:fill="FFFFFF"/>
        </w:rPr>
        <w:t>(Sistema Nacional de Gestão do Patrimônio Genético e do Conhecimento Tradicional Associado).</w:t>
      </w:r>
      <w:r w:rsidR="00EC63AD" w:rsidRPr="002D571F">
        <w:rPr>
          <w:rFonts w:asciiTheme="majorHAnsi" w:hAnsiTheme="majorHAnsi" w:cs="Arial"/>
          <w:color w:val="0D0D0D" w:themeColor="text1" w:themeTint="F2"/>
          <w:sz w:val="24"/>
          <w:szCs w:val="24"/>
          <w:shd w:val="clear" w:color="auto" w:fill="FFFFFF"/>
        </w:rPr>
        <w:t xml:space="preserve"> O </w:t>
      </w:r>
      <w:proofErr w:type="gramStart"/>
      <w:r w:rsidR="00EC63AD" w:rsidRPr="002D571F">
        <w:rPr>
          <w:rFonts w:asciiTheme="majorHAnsi" w:hAnsiTheme="majorHAnsi" w:cs="Arial"/>
          <w:color w:val="0D0D0D" w:themeColor="text1" w:themeTint="F2"/>
          <w:sz w:val="24"/>
          <w:szCs w:val="24"/>
          <w:shd w:val="clear" w:color="auto" w:fill="FFFFFF"/>
        </w:rPr>
        <w:t>SisGen</w:t>
      </w:r>
      <w:proofErr w:type="gramEnd"/>
      <w:r w:rsidR="00EC63AD" w:rsidRPr="002D571F">
        <w:rPr>
          <w:rFonts w:asciiTheme="majorHAnsi" w:hAnsiTheme="majorHAnsi" w:cs="Arial"/>
          <w:color w:val="0D0D0D" w:themeColor="text1" w:themeTint="F2"/>
          <w:sz w:val="24"/>
          <w:szCs w:val="24"/>
          <w:shd w:val="clear" w:color="auto" w:fill="FFFFFF"/>
        </w:rPr>
        <w:t xml:space="preserve"> foi criado pelo </w:t>
      </w:r>
      <w:r w:rsidR="00A17DCC">
        <w:rPr>
          <w:rFonts w:asciiTheme="majorHAnsi" w:hAnsiTheme="majorHAnsi" w:cs="Arial"/>
          <w:color w:val="0D0D0D" w:themeColor="text1" w:themeTint="F2"/>
          <w:sz w:val="24"/>
          <w:szCs w:val="24"/>
          <w:shd w:val="clear" w:color="auto" w:fill="FFFFFF"/>
        </w:rPr>
        <w:t xml:space="preserve">Decreto nº 8.772, de 11 de maio de </w:t>
      </w:r>
      <w:r w:rsidR="008D42BB">
        <w:rPr>
          <w:rFonts w:asciiTheme="majorHAnsi" w:hAnsiTheme="majorHAnsi" w:cs="Arial"/>
          <w:color w:val="0D0D0D" w:themeColor="text1" w:themeTint="F2"/>
          <w:sz w:val="24"/>
          <w:szCs w:val="24"/>
          <w:shd w:val="clear" w:color="auto" w:fill="FFFFFF"/>
        </w:rPr>
        <w:t>2016</w:t>
      </w:r>
      <w:r w:rsidR="00EC63AD" w:rsidRPr="002D571F">
        <w:rPr>
          <w:rFonts w:asciiTheme="majorHAnsi" w:hAnsiTheme="majorHAnsi" w:cs="Arial"/>
          <w:color w:val="0D0D0D" w:themeColor="text1" w:themeTint="F2"/>
          <w:sz w:val="24"/>
          <w:szCs w:val="24"/>
          <w:shd w:val="clear" w:color="auto" w:fill="FFFFFF"/>
        </w:rPr>
        <w:t xml:space="preserve">, e disponibilizado em 06 de novembro de 2017, através do link </w:t>
      </w:r>
      <w:proofErr w:type="spellStart"/>
      <w:r w:rsidR="00EC63AD" w:rsidRPr="002D571F">
        <w:rPr>
          <w:rFonts w:asciiTheme="majorHAnsi" w:hAnsiTheme="majorHAnsi" w:cs="Arial"/>
          <w:color w:val="0D0D0D" w:themeColor="text1" w:themeTint="F2"/>
          <w:sz w:val="24"/>
          <w:szCs w:val="24"/>
          <w:shd w:val="clear" w:color="auto" w:fill="FFFFFF"/>
        </w:rPr>
        <w:t>sisgen</w:t>
      </w:r>
      <w:proofErr w:type="spellEnd"/>
      <w:r w:rsidR="00EC63AD" w:rsidRPr="002D571F">
        <w:rPr>
          <w:rFonts w:asciiTheme="majorHAnsi" w:hAnsiTheme="majorHAnsi" w:cs="Arial"/>
          <w:color w:val="0D0D0D" w:themeColor="text1" w:themeTint="F2"/>
          <w:sz w:val="24"/>
          <w:szCs w:val="24"/>
          <w:shd w:val="clear" w:color="auto" w:fill="FFFFFF"/>
        </w:rPr>
        <w:t xml:space="preserve">.gov.br. </w:t>
      </w:r>
    </w:p>
    <w:p w:rsidR="002579E6" w:rsidRPr="002D571F" w:rsidRDefault="00EC63AD" w:rsidP="00EC63AD">
      <w:pPr>
        <w:shd w:val="clear" w:color="auto" w:fill="FFFFFF"/>
        <w:spacing w:after="0" w:line="240" w:lineRule="auto"/>
        <w:rPr>
          <w:rFonts w:asciiTheme="majorHAnsi" w:eastAsia="Times New Roman" w:hAnsiTheme="majorHAnsi" w:cs="Arial"/>
          <w:color w:val="0D0D0D" w:themeColor="text1" w:themeTint="F2"/>
          <w:sz w:val="24"/>
          <w:szCs w:val="24"/>
          <w:lang w:eastAsia="pt-BR"/>
        </w:rPr>
      </w:pPr>
      <w:r w:rsidRPr="002D571F">
        <w:rPr>
          <w:rFonts w:asciiTheme="majorHAnsi" w:eastAsia="Times New Roman" w:hAnsiTheme="majorHAnsi" w:cs="Arial"/>
          <w:color w:val="0D0D0D" w:themeColor="text1" w:themeTint="F2"/>
          <w:sz w:val="24"/>
          <w:szCs w:val="24"/>
          <w:lang w:eastAsia="pt-BR"/>
        </w:rPr>
        <w:t xml:space="preserve">A  Lei nº 13.123/2015 também prevê, </w:t>
      </w:r>
      <w:r w:rsidR="006D6541">
        <w:rPr>
          <w:rFonts w:asciiTheme="majorHAnsi" w:eastAsia="Times New Roman" w:hAnsiTheme="majorHAnsi" w:cs="Arial"/>
          <w:color w:val="0D0D0D" w:themeColor="text1" w:themeTint="F2"/>
          <w:sz w:val="24"/>
          <w:szCs w:val="24"/>
          <w:lang w:eastAsia="pt-BR"/>
        </w:rPr>
        <w:t>no</w:t>
      </w:r>
      <w:r w:rsidRPr="002D571F">
        <w:rPr>
          <w:rFonts w:asciiTheme="majorHAnsi" w:eastAsia="Times New Roman" w:hAnsiTheme="majorHAnsi" w:cs="Arial"/>
          <w:color w:val="0D0D0D" w:themeColor="text1" w:themeTint="F2"/>
          <w:sz w:val="24"/>
          <w:szCs w:val="24"/>
          <w:lang w:eastAsia="pt-BR"/>
        </w:rPr>
        <w:t xml:space="preserve"> art. 38, a regularização das atividades realizadas no período de 30 de junho de 2000 a 16 de novembro de 2015 em desacordo com a </w:t>
      </w:r>
      <w:proofErr w:type="spellStart"/>
      <w:r w:rsidRPr="002D571F">
        <w:rPr>
          <w:rFonts w:asciiTheme="majorHAnsi" w:eastAsia="Times New Roman" w:hAnsiTheme="majorHAnsi" w:cs="Arial"/>
          <w:color w:val="0D0D0D" w:themeColor="text1" w:themeTint="F2"/>
          <w:sz w:val="24"/>
          <w:szCs w:val="24"/>
          <w:lang w:eastAsia="pt-BR"/>
        </w:rPr>
        <w:t>M.P.</w:t>
      </w:r>
      <w:proofErr w:type="spellEnd"/>
      <w:r w:rsidRPr="002D571F">
        <w:rPr>
          <w:rFonts w:asciiTheme="majorHAnsi" w:eastAsia="Times New Roman" w:hAnsiTheme="majorHAnsi" w:cs="Arial"/>
          <w:color w:val="0D0D0D" w:themeColor="text1" w:themeTint="F2"/>
          <w:sz w:val="24"/>
          <w:szCs w:val="24"/>
          <w:lang w:eastAsia="pt-BR"/>
        </w:rPr>
        <w:t xml:space="preserve"> 2.186-16, </w:t>
      </w:r>
      <w:r w:rsidRPr="002D571F">
        <w:rPr>
          <w:rFonts w:asciiTheme="majorHAnsi" w:hAnsiTheme="majorHAnsi" w:cs="Arial"/>
          <w:color w:val="0D0D0D" w:themeColor="text1" w:themeTint="F2"/>
          <w:sz w:val="24"/>
          <w:szCs w:val="24"/>
        </w:rPr>
        <w:t>de 23 de agosto de 2001</w:t>
      </w:r>
      <w:r w:rsidRPr="002D571F">
        <w:rPr>
          <w:rFonts w:asciiTheme="majorHAnsi" w:eastAsia="Times New Roman" w:hAnsiTheme="majorHAnsi" w:cs="Arial"/>
          <w:color w:val="0D0D0D" w:themeColor="text1" w:themeTint="F2"/>
          <w:sz w:val="24"/>
          <w:szCs w:val="24"/>
          <w:lang w:eastAsia="pt-BR"/>
        </w:rPr>
        <w:t xml:space="preserve"> (que foi revogada pela Lei da Biodiversidade). </w:t>
      </w:r>
      <w:r w:rsidR="00A4581F" w:rsidRPr="002D571F">
        <w:rPr>
          <w:rFonts w:asciiTheme="majorHAnsi" w:eastAsia="Times New Roman" w:hAnsiTheme="majorHAnsi" w:cs="Arial"/>
          <w:color w:val="0D0D0D" w:themeColor="text1" w:themeTint="F2"/>
          <w:sz w:val="24"/>
          <w:szCs w:val="24"/>
          <w:lang w:eastAsia="pt-BR"/>
        </w:rPr>
        <w:t xml:space="preserve"> A regularização dessas atividades foi condicionada a assinatura de Termo de Compromisso (</w:t>
      </w:r>
      <w:r w:rsidR="00A4581F" w:rsidRPr="002D571F">
        <w:rPr>
          <w:rFonts w:asciiTheme="majorHAnsi" w:hAnsiTheme="majorHAnsi" w:cs="Arial"/>
          <w:color w:val="0D0D0D" w:themeColor="text1" w:themeTint="F2"/>
          <w:sz w:val="24"/>
          <w:szCs w:val="24"/>
        </w:rPr>
        <w:t>§ 1º,</w:t>
      </w:r>
      <w:r w:rsidR="006D6541">
        <w:rPr>
          <w:rFonts w:asciiTheme="majorHAnsi" w:hAnsiTheme="majorHAnsi" w:cs="Arial"/>
          <w:color w:val="0D0D0D" w:themeColor="text1" w:themeTint="F2"/>
          <w:sz w:val="24"/>
          <w:szCs w:val="24"/>
        </w:rPr>
        <w:t xml:space="preserve"> art. 38 da Lei nº 13.123/2015), que, então, </w:t>
      </w:r>
      <w:r w:rsidRPr="002D571F">
        <w:rPr>
          <w:rFonts w:asciiTheme="majorHAnsi" w:eastAsia="Times New Roman" w:hAnsiTheme="majorHAnsi" w:cs="Arial"/>
          <w:color w:val="0D0D0D" w:themeColor="text1" w:themeTint="F2"/>
          <w:sz w:val="24"/>
          <w:szCs w:val="24"/>
          <w:lang w:eastAsia="pt-BR"/>
        </w:rPr>
        <w:t>suspende</w:t>
      </w:r>
      <w:r w:rsidR="006D6541">
        <w:rPr>
          <w:rFonts w:asciiTheme="majorHAnsi" w:eastAsia="Times New Roman" w:hAnsiTheme="majorHAnsi" w:cs="Arial"/>
          <w:color w:val="0D0D0D" w:themeColor="text1" w:themeTint="F2"/>
          <w:sz w:val="24"/>
          <w:szCs w:val="24"/>
          <w:lang w:eastAsia="pt-BR"/>
        </w:rPr>
        <w:t>rá</w:t>
      </w:r>
      <w:r w:rsidRPr="002D571F">
        <w:rPr>
          <w:rFonts w:asciiTheme="majorHAnsi" w:eastAsia="Times New Roman" w:hAnsiTheme="majorHAnsi" w:cs="Arial"/>
          <w:color w:val="0D0D0D" w:themeColor="text1" w:themeTint="F2"/>
          <w:sz w:val="24"/>
          <w:szCs w:val="24"/>
          <w:lang w:eastAsia="pt-BR"/>
        </w:rPr>
        <w:t xml:space="preserve"> a aplicação de sanções administrativas </w:t>
      </w:r>
      <w:proofErr w:type="gramStart"/>
      <w:r w:rsidR="006D6541">
        <w:rPr>
          <w:rFonts w:asciiTheme="majorHAnsi" w:eastAsia="Times New Roman" w:hAnsiTheme="majorHAnsi" w:cs="Arial"/>
          <w:color w:val="0D0D0D" w:themeColor="text1" w:themeTint="F2"/>
          <w:sz w:val="24"/>
          <w:szCs w:val="24"/>
          <w:lang w:eastAsia="pt-BR"/>
        </w:rPr>
        <w:t>(</w:t>
      </w:r>
      <w:r w:rsidR="006D6541">
        <w:rPr>
          <w:rFonts w:asciiTheme="majorHAnsi" w:hAnsiTheme="majorHAnsi" w:cs="Arial"/>
          <w:color w:val="0D0D0D" w:themeColor="text1" w:themeTint="F2"/>
          <w:sz w:val="24"/>
          <w:szCs w:val="24"/>
        </w:rPr>
        <w:t xml:space="preserve"> </w:t>
      </w:r>
      <w:proofErr w:type="gramEnd"/>
      <w:r w:rsidR="006D6541">
        <w:rPr>
          <w:rFonts w:asciiTheme="majorHAnsi" w:hAnsiTheme="majorHAnsi" w:cs="Arial"/>
          <w:color w:val="0D0D0D" w:themeColor="text1" w:themeTint="F2"/>
          <w:sz w:val="24"/>
          <w:szCs w:val="24"/>
        </w:rPr>
        <w:t>art. 41 da Lei nº 13.123/2015)</w:t>
      </w:r>
    </w:p>
    <w:p w:rsidR="00A45D3E" w:rsidRPr="002D571F" w:rsidRDefault="002579E6" w:rsidP="00EC63AD">
      <w:pPr>
        <w:shd w:val="clear" w:color="auto" w:fill="FFFFFF"/>
        <w:spacing w:after="0" w:line="240" w:lineRule="auto"/>
        <w:rPr>
          <w:rFonts w:asciiTheme="majorHAnsi" w:eastAsia="Times New Roman" w:hAnsiTheme="majorHAnsi" w:cs="Arial"/>
          <w:color w:val="0D0D0D" w:themeColor="text1" w:themeTint="F2"/>
          <w:sz w:val="24"/>
          <w:szCs w:val="24"/>
          <w:lang w:eastAsia="pt-BR"/>
        </w:rPr>
      </w:pPr>
      <w:r w:rsidRPr="002D571F">
        <w:rPr>
          <w:rFonts w:asciiTheme="majorHAnsi" w:hAnsiTheme="majorHAnsi" w:cs="Arial"/>
          <w:color w:val="0D0D0D" w:themeColor="text1" w:themeTint="F2"/>
          <w:sz w:val="24"/>
          <w:szCs w:val="24"/>
        </w:rPr>
        <w:t xml:space="preserve">A Resolução CGEN nº 19, de 31 de outubro de 2018, estabeleceu uma forma alternativa para o cumprimento da obrigação de regularização das atividades previstas no </w:t>
      </w:r>
      <w:r w:rsidRPr="002D571F">
        <w:rPr>
          <w:rFonts w:asciiTheme="majorHAnsi" w:hAnsiTheme="majorHAnsi" w:cs="Arial"/>
          <w:color w:val="0D0D0D" w:themeColor="text1" w:themeTint="F2"/>
          <w:sz w:val="24"/>
          <w:szCs w:val="24"/>
          <w:shd w:val="clear" w:color="auto" w:fill="FFFFFF"/>
        </w:rPr>
        <w:t>§ 2º do art. 38 da Lei nº 13.123/2015,</w:t>
      </w:r>
      <w:r w:rsidR="00A17DCC">
        <w:rPr>
          <w:rFonts w:asciiTheme="majorHAnsi" w:hAnsiTheme="majorHAnsi" w:cs="Arial"/>
          <w:color w:val="0D0D0D" w:themeColor="text1" w:themeTint="F2"/>
          <w:sz w:val="24"/>
          <w:szCs w:val="24"/>
          <w:shd w:val="clear" w:color="auto" w:fill="FFFFFF"/>
        </w:rPr>
        <w:t xml:space="preserve"> </w:t>
      </w:r>
      <w:r w:rsidRPr="002D571F">
        <w:rPr>
          <w:rFonts w:asciiTheme="majorHAnsi" w:hAnsiTheme="majorHAnsi" w:cs="Arial"/>
          <w:color w:val="0D0D0D" w:themeColor="text1" w:themeTint="F2"/>
          <w:sz w:val="24"/>
          <w:szCs w:val="24"/>
          <w:shd w:val="clear" w:color="auto" w:fill="FFFFFF"/>
        </w:rPr>
        <w:t>ou seja, as atividades de acesso ao patrimônio genético ou ao conhecimento tradicional associado que tinham como única finalidade a pesquisa científica poderiam ser regularizadas a partir da assinatura do Termo de Compromisso referente ao Anexo VII da Portaria MMA nº 378, de 01 de outubro de 2018.</w:t>
      </w:r>
      <w:r w:rsidR="00A45D3E" w:rsidRPr="002D571F">
        <w:rPr>
          <w:rFonts w:asciiTheme="majorHAnsi" w:hAnsiTheme="majorHAnsi" w:cs="Arial"/>
          <w:color w:val="0D0D0D" w:themeColor="text1" w:themeTint="F2"/>
          <w:sz w:val="24"/>
          <w:szCs w:val="24"/>
          <w:shd w:val="clear" w:color="auto" w:fill="FFFFFF"/>
        </w:rPr>
        <w:t xml:space="preserve"> </w:t>
      </w:r>
      <w:r w:rsidR="00A45D3E" w:rsidRPr="002D571F">
        <w:rPr>
          <w:rFonts w:asciiTheme="majorHAnsi" w:eastAsia="Times New Roman" w:hAnsiTheme="majorHAnsi" w:cs="Arial"/>
          <w:color w:val="0D0D0D" w:themeColor="text1" w:themeTint="F2"/>
          <w:sz w:val="24"/>
          <w:szCs w:val="24"/>
          <w:lang w:eastAsia="pt-BR"/>
        </w:rPr>
        <w:t>O Reitor da UFSM assinou o </w:t>
      </w:r>
      <w:r w:rsidR="00EC63AD" w:rsidRPr="002D571F">
        <w:rPr>
          <w:rFonts w:asciiTheme="majorHAnsi" w:eastAsia="Times New Roman" w:hAnsiTheme="majorHAnsi" w:cs="Arial"/>
          <w:color w:val="0D0D0D" w:themeColor="text1" w:themeTint="F2"/>
          <w:sz w:val="24"/>
          <w:szCs w:val="24"/>
          <w:lang w:eastAsia="pt-BR"/>
        </w:rPr>
        <w:t>Termo de Compr</w:t>
      </w:r>
      <w:r w:rsidR="00A45D3E" w:rsidRPr="002D571F">
        <w:rPr>
          <w:rFonts w:asciiTheme="majorHAnsi" w:eastAsia="Times New Roman" w:hAnsiTheme="majorHAnsi" w:cs="Arial"/>
          <w:color w:val="0D0D0D" w:themeColor="text1" w:themeTint="F2"/>
          <w:sz w:val="24"/>
          <w:szCs w:val="24"/>
          <w:lang w:eastAsia="pt-BR"/>
        </w:rPr>
        <w:t xml:space="preserve">omisso, registrado sob nº 165, e, dessa forma, </w:t>
      </w:r>
      <w:r w:rsidR="00EC63AD" w:rsidRPr="002D571F">
        <w:rPr>
          <w:rFonts w:asciiTheme="majorHAnsi" w:eastAsia="Times New Roman" w:hAnsiTheme="majorHAnsi" w:cs="Arial"/>
          <w:color w:val="0D0D0D" w:themeColor="text1" w:themeTint="F2"/>
          <w:sz w:val="24"/>
          <w:szCs w:val="24"/>
          <w:lang w:eastAsia="pt-BR"/>
        </w:rPr>
        <w:t xml:space="preserve">os pesquisadores da UFSM </w:t>
      </w:r>
      <w:r w:rsidR="00A45D3E" w:rsidRPr="002D571F">
        <w:rPr>
          <w:rFonts w:asciiTheme="majorHAnsi" w:eastAsia="Times New Roman" w:hAnsiTheme="majorHAnsi" w:cs="Arial"/>
          <w:color w:val="0D0D0D" w:themeColor="text1" w:themeTint="F2"/>
          <w:sz w:val="24"/>
          <w:szCs w:val="24"/>
          <w:lang w:eastAsia="pt-BR"/>
        </w:rPr>
        <w:t xml:space="preserve">tiveram mais prazo para </w:t>
      </w:r>
      <w:r w:rsidR="00EC63AD" w:rsidRPr="002D571F">
        <w:rPr>
          <w:rFonts w:asciiTheme="majorHAnsi" w:eastAsia="Times New Roman" w:hAnsiTheme="majorHAnsi" w:cs="Arial"/>
          <w:color w:val="0D0D0D" w:themeColor="text1" w:themeTint="F2"/>
          <w:sz w:val="24"/>
          <w:szCs w:val="24"/>
          <w:lang w:eastAsia="pt-BR"/>
        </w:rPr>
        <w:t>regularizarem suas atividades.</w:t>
      </w:r>
      <w:r w:rsidR="00A45D3E" w:rsidRPr="002D571F">
        <w:rPr>
          <w:rFonts w:asciiTheme="majorHAnsi" w:eastAsia="Times New Roman" w:hAnsiTheme="majorHAnsi" w:cs="Arial"/>
          <w:color w:val="0D0D0D" w:themeColor="text1" w:themeTint="F2"/>
          <w:sz w:val="24"/>
          <w:szCs w:val="24"/>
          <w:lang w:eastAsia="pt-BR"/>
        </w:rPr>
        <w:t xml:space="preserve"> </w:t>
      </w:r>
    </w:p>
    <w:p w:rsidR="00A45D3E" w:rsidRPr="002D571F" w:rsidRDefault="00A45D3E" w:rsidP="00EC63AD">
      <w:pPr>
        <w:shd w:val="clear" w:color="auto" w:fill="FFFFFF"/>
        <w:spacing w:after="0" w:line="240" w:lineRule="auto"/>
        <w:rPr>
          <w:rFonts w:asciiTheme="majorHAnsi" w:hAnsiTheme="majorHAnsi" w:cs="Arial"/>
          <w:color w:val="0D0D0D" w:themeColor="text1" w:themeTint="F2"/>
          <w:sz w:val="24"/>
          <w:szCs w:val="24"/>
        </w:rPr>
      </w:pPr>
      <w:r w:rsidRPr="002D571F">
        <w:rPr>
          <w:rFonts w:asciiTheme="majorHAnsi" w:eastAsia="Times New Roman" w:hAnsiTheme="majorHAnsi" w:cs="Arial"/>
          <w:color w:val="0D0D0D" w:themeColor="text1" w:themeTint="F2"/>
          <w:sz w:val="24"/>
          <w:szCs w:val="24"/>
          <w:lang w:eastAsia="pt-BR"/>
        </w:rPr>
        <w:t xml:space="preserve">No entanto, o primeiro prazo para cumprimento do compromisso assumido na assinatura do Termo de Compromisso - Anexo VII, previsto do item 1.3, se encerra em outubro de 2020. Diante dessa situação, foi elaborado o questionário </w:t>
      </w:r>
      <w:r w:rsidRPr="002D571F">
        <w:rPr>
          <w:rFonts w:asciiTheme="majorHAnsi" w:hAnsiTheme="majorHAnsi" w:cs="Arial"/>
          <w:color w:val="0D0D0D" w:themeColor="text1" w:themeTint="F2"/>
          <w:sz w:val="24"/>
          <w:szCs w:val="24"/>
        </w:rPr>
        <w:t>intitulado “Prestação de informações - cfe Memorando-Circular N. 001/2020 – PRPGP/CP”, disponível no Sistema de Questionários da UFSM (</w:t>
      </w:r>
      <w:hyperlink r:id="rId4" w:tgtFrame="_blank" w:history="1">
        <w:r w:rsidRPr="002D571F">
          <w:rPr>
            <w:rStyle w:val="Hyperlink"/>
            <w:rFonts w:asciiTheme="majorHAnsi" w:hAnsiTheme="majorHAnsi" w:cs="Arial"/>
            <w:color w:val="0D0D0D" w:themeColor="text1" w:themeTint="F2"/>
            <w:sz w:val="24"/>
            <w:szCs w:val="24"/>
            <w:u w:val="none"/>
          </w:rPr>
          <w:t>portal.ufsm.br/questionario</w:t>
        </w:r>
      </w:hyperlink>
      <w:r w:rsidRPr="002D571F">
        <w:rPr>
          <w:rFonts w:asciiTheme="majorHAnsi" w:hAnsiTheme="majorHAnsi" w:cs="Arial"/>
          <w:color w:val="0D0D0D" w:themeColor="text1" w:themeTint="F2"/>
          <w:sz w:val="24"/>
          <w:szCs w:val="24"/>
        </w:rPr>
        <w:t>), que deve ser respondido por todos os docentes até 19 de setembro de 2020.</w:t>
      </w:r>
    </w:p>
    <w:p w:rsidR="00360811" w:rsidRPr="002D571F" w:rsidRDefault="00360811" w:rsidP="00360811">
      <w:pPr>
        <w:spacing w:after="0" w:line="240" w:lineRule="auto"/>
        <w:rPr>
          <w:rFonts w:asciiTheme="majorHAnsi" w:eastAsia="Times New Roman" w:hAnsiTheme="majorHAnsi" w:cs="Arial"/>
          <w:color w:val="0D0D0D" w:themeColor="text1" w:themeTint="F2"/>
          <w:sz w:val="24"/>
          <w:szCs w:val="24"/>
          <w:lang w:eastAsia="pt-BR"/>
        </w:rPr>
      </w:pPr>
      <w:r w:rsidRPr="002D571F">
        <w:rPr>
          <w:rFonts w:asciiTheme="majorHAnsi" w:eastAsia="Times New Roman" w:hAnsiTheme="majorHAnsi" w:cs="Arial"/>
          <w:color w:val="0D0D0D" w:themeColor="text1" w:themeTint="F2"/>
          <w:sz w:val="24"/>
          <w:szCs w:val="24"/>
          <w:lang w:eastAsia="pt-BR"/>
        </w:rPr>
        <w:t>Portanto, o questionário busca coletar informações específicas sobre atividades de acesso ao patrimônio genético ou ao conhecimento tradicional associado unicamente para fins de pesquisa científica realizadas entre 30 de junho de 2000 e 16 de novembro de 2015 (data de entrada em vigor da Lei nº 13.123/2015), em desacordo com a legislação em vigor à época. </w:t>
      </w:r>
    </w:p>
    <w:p w:rsidR="00360811" w:rsidRPr="00F53900" w:rsidRDefault="00360811" w:rsidP="00360811">
      <w:pPr>
        <w:spacing w:after="0" w:line="240" w:lineRule="auto"/>
        <w:rPr>
          <w:rFonts w:asciiTheme="majorHAnsi" w:eastAsia="Times New Roman" w:hAnsiTheme="majorHAnsi" w:cs="Arial"/>
          <w:color w:val="0D0D0D" w:themeColor="text1" w:themeTint="F2"/>
          <w:sz w:val="24"/>
          <w:szCs w:val="24"/>
          <w:lang w:eastAsia="pt-BR"/>
        </w:rPr>
      </w:pPr>
      <w:r w:rsidRPr="002D571F">
        <w:rPr>
          <w:rFonts w:asciiTheme="majorHAnsi" w:hAnsiTheme="majorHAnsi" w:cs="Arial"/>
          <w:color w:val="0D0D0D" w:themeColor="text1" w:themeTint="F2"/>
          <w:sz w:val="24"/>
          <w:szCs w:val="24"/>
          <w:shd w:val="clear" w:color="auto" w:fill="FFFFFF"/>
        </w:rPr>
        <w:t xml:space="preserve">Devido ao período estabelecido para regularização das atividades (30/06/2000 a 16/11/2015) e pela </w:t>
      </w:r>
      <w:r w:rsidRPr="002D571F">
        <w:rPr>
          <w:rFonts w:asciiTheme="majorHAnsi" w:eastAsia="Times New Roman" w:hAnsiTheme="majorHAnsi" w:cs="Arial"/>
          <w:color w:val="0D0D0D" w:themeColor="text1" w:themeTint="F2"/>
          <w:sz w:val="24"/>
          <w:szCs w:val="24"/>
          <w:lang w:eastAsia="pt-BR"/>
        </w:rPr>
        <w:t xml:space="preserve">legislação ser tão ampla de forma a abranger diversas áreas, tornando difícil estabelecer as áreas/departamentos que trabalham especificamente com o assunto, </w:t>
      </w:r>
      <w:proofErr w:type="gramStart"/>
      <w:r w:rsidRPr="002D571F">
        <w:rPr>
          <w:rFonts w:asciiTheme="majorHAnsi" w:eastAsia="Times New Roman" w:hAnsiTheme="majorHAnsi" w:cs="Arial"/>
          <w:color w:val="0D0D0D" w:themeColor="text1" w:themeTint="F2"/>
          <w:sz w:val="24"/>
          <w:szCs w:val="24"/>
          <w:lang w:eastAsia="pt-BR"/>
        </w:rPr>
        <w:t>estamos</w:t>
      </w:r>
      <w:proofErr w:type="gramEnd"/>
      <w:r w:rsidRPr="002D571F">
        <w:rPr>
          <w:rFonts w:asciiTheme="majorHAnsi" w:eastAsia="Times New Roman" w:hAnsiTheme="majorHAnsi" w:cs="Arial"/>
          <w:color w:val="0D0D0D" w:themeColor="text1" w:themeTint="F2"/>
          <w:sz w:val="24"/>
          <w:szCs w:val="24"/>
          <w:lang w:eastAsia="pt-BR"/>
        </w:rPr>
        <w:t xml:space="preserve"> solicita</w:t>
      </w:r>
      <w:r w:rsidR="00A17DCC">
        <w:rPr>
          <w:rFonts w:asciiTheme="majorHAnsi" w:eastAsia="Times New Roman" w:hAnsiTheme="majorHAnsi" w:cs="Arial"/>
          <w:color w:val="0D0D0D" w:themeColor="text1" w:themeTint="F2"/>
          <w:sz w:val="24"/>
          <w:szCs w:val="24"/>
          <w:lang w:eastAsia="pt-BR"/>
        </w:rPr>
        <w:t>ndo</w:t>
      </w:r>
      <w:r w:rsidRPr="002D571F">
        <w:rPr>
          <w:rFonts w:asciiTheme="majorHAnsi" w:eastAsia="Times New Roman" w:hAnsiTheme="majorHAnsi" w:cs="Arial"/>
          <w:color w:val="0D0D0D" w:themeColor="text1" w:themeTint="F2"/>
          <w:sz w:val="24"/>
          <w:szCs w:val="24"/>
          <w:lang w:eastAsia="pt-BR"/>
        </w:rPr>
        <w:t xml:space="preserve"> que todos os docentes, </w:t>
      </w:r>
      <w:r w:rsidRPr="002D571F">
        <w:rPr>
          <w:rFonts w:asciiTheme="majorHAnsi" w:hAnsiTheme="majorHAnsi" w:cs="Arial"/>
          <w:color w:val="0D0D0D" w:themeColor="text1" w:themeTint="F2"/>
          <w:sz w:val="24"/>
          <w:szCs w:val="24"/>
        </w:rPr>
        <w:t xml:space="preserve">aposentados a partir de 2000 e ativos, de todas as áreas da UFSM, </w:t>
      </w:r>
      <w:r w:rsidRPr="002D571F">
        <w:rPr>
          <w:rFonts w:asciiTheme="majorHAnsi" w:eastAsia="Times New Roman" w:hAnsiTheme="majorHAnsi" w:cs="Arial"/>
          <w:color w:val="0D0D0D" w:themeColor="text1" w:themeTint="F2"/>
          <w:sz w:val="24"/>
          <w:szCs w:val="24"/>
          <w:lang w:eastAsia="pt-BR"/>
        </w:rPr>
        <w:t xml:space="preserve">preencham o questionário. O questionário, além de coletar essas informações, também apresenta um conjunto de informações aos respondentes. Ele foi estruturado de forma que </w:t>
      </w:r>
      <w:r w:rsidRPr="00F53900">
        <w:rPr>
          <w:rFonts w:asciiTheme="majorHAnsi" w:eastAsia="Times New Roman" w:hAnsiTheme="majorHAnsi" w:cs="Arial"/>
          <w:color w:val="0D0D0D" w:themeColor="text1" w:themeTint="F2"/>
          <w:sz w:val="24"/>
          <w:szCs w:val="24"/>
          <w:lang w:eastAsia="pt-BR"/>
        </w:rPr>
        <w:t>as questões na sequência são '</w:t>
      </w:r>
      <w:proofErr w:type="gramStart"/>
      <w:r w:rsidRPr="00F53900">
        <w:rPr>
          <w:rFonts w:asciiTheme="majorHAnsi" w:eastAsia="Times New Roman" w:hAnsiTheme="majorHAnsi" w:cs="Arial"/>
          <w:color w:val="0D0D0D" w:themeColor="text1" w:themeTint="F2"/>
          <w:sz w:val="24"/>
          <w:szCs w:val="24"/>
          <w:lang w:eastAsia="pt-BR"/>
        </w:rPr>
        <w:t>abertas/habilitadas</w:t>
      </w:r>
      <w:proofErr w:type="gramEnd"/>
      <w:r w:rsidRPr="00F53900">
        <w:rPr>
          <w:rFonts w:asciiTheme="majorHAnsi" w:eastAsia="Times New Roman" w:hAnsiTheme="majorHAnsi" w:cs="Arial"/>
          <w:color w:val="0D0D0D" w:themeColor="text1" w:themeTint="F2"/>
          <w:sz w:val="24"/>
          <w:szCs w:val="24"/>
          <w:lang w:eastAsia="pt-BR"/>
        </w:rPr>
        <w:t>' conforme as respostas das questões anteriores.</w:t>
      </w:r>
    </w:p>
    <w:p w:rsidR="00360811" w:rsidRDefault="000F239E" w:rsidP="00360811">
      <w:pPr>
        <w:shd w:val="clear" w:color="auto" w:fill="FFFFFF"/>
        <w:spacing w:after="0" w:line="240" w:lineRule="auto"/>
        <w:rPr>
          <w:rFonts w:asciiTheme="majorHAnsi" w:eastAsia="Times New Roman" w:hAnsiTheme="majorHAnsi" w:cs="Arial"/>
          <w:color w:val="0D0D0D" w:themeColor="text1" w:themeTint="F2"/>
          <w:sz w:val="24"/>
          <w:szCs w:val="24"/>
          <w:lang w:eastAsia="pt-BR"/>
        </w:rPr>
      </w:pPr>
      <w:r>
        <w:rPr>
          <w:rFonts w:asciiTheme="majorHAnsi" w:eastAsia="Times New Roman" w:hAnsiTheme="majorHAnsi" w:cs="Arial"/>
          <w:color w:val="0D0D0D" w:themeColor="text1" w:themeTint="F2"/>
          <w:sz w:val="24"/>
          <w:szCs w:val="24"/>
          <w:lang w:eastAsia="pt-BR"/>
        </w:rPr>
        <w:lastRenderedPageBreak/>
        <w:t xml:space="preserve">Solicitamos que comuniquem aos docentes, </w:t>
      </w:r>
      <w:r w:rsidR="00B87231">
        <w:rPr>
          <w:rFonts w:asciiTheme="majorHAnsi" w:eastAsia="Times New Roman" w:hAnsiTheme="majorHAnsi" w:cs="Arial"/>
          <w:color w:val="0D0D0D" w:themeColor="text1" w:themeTint="F2"/>
          <w:sz w:val="24"/>
          <w:szCs w:val="24"/>
          <w:lang w:eastAsia="pt-BR"/>
        </w:rPr>
        <w:t>em especial</w:t>
      </w:r>
      <w:r>
        <w:rPr>
          <w:rFonts w:asciiTheme="majorHAnsi" w:eastAsia="Times New Roman" w:hAnsiTheme="majorHAnsi" w:cs="Arial"/>
          <w:color w:val="0D0D0D" w:themeColor="text1" w:themeTint="F2"/>
          <w:sz w:val="24"/>
          <w:szCs w:val="24"/>
          <w:lang w:eastAsia="pt-BR"/>
        </w:rPr>
        <w:t xml:space="preserve"> os aposentados, da necessidade de preencher o questionário.</w:t>
      </w:r>
    </w:p>
    <w:p w:rsidR="000F239E" w:rsidRDefault="000F239E" w:rsidP="00360811">
      <w:pPr>
        <w:shd w:val="clear" w:color="auto" w:fill="FFFFFF"/>
        <w:spacing w:after="0" w:line="240" w:lineRule="auto"/>
        <w:rPr>
          <w:rFonts w:asciiTheme="majorHAnsi" w:eastAsia="Times New Roman" w:hAnsiTheme="majorHAnsi" w:cs="Arial"/>
          <w:color w:val="0D0D0D" w:themeColor="text1" w:themeTint="F2"/>
          <w:sz w:val="24"/>
          <w:szCs w:val="24"/>
          <w:lang w:eastAsia="pt-BR"/>
        </w:rPr>
      </w:pPr>
    </w:p>
    <w:p w:rsidR="00271EA9" w:rsidRDefault="00271EA9" w:rsidP="00360811">
      <w:pPr>
        <w:shd w:val="clear" w:color="auto" w:fill="FFFFFF"/>
        <w:spacing w:after="0" w:line="240" w:lineRule="auto"/>
        <w:rPr>
          <w:rFonts w:asciiTheme="majorHAnsi" w:eastAsia="Times New Roman" w:hAnsiTheme="majorHAnsi" w:cs="Arial"/>
          <w:color w:val="0D0D0D" w:themeColor="text1" w:themeTint="F2"/>
          <w:sz w:val="24"/>
          <w:szCs w:val="24"/>
          <w:lang w:eastAsia="pt-BR"/>
        </w:rPr>
      </w:pPr>
      <w:r>
        <w:rPr>
          <w:rFonts w:asciiTheme="majorHAnsi" w:eastAsia="Times New Roman" w:hAnsiTheme="majorHAnsi" w:cs="Arial"/>
          <w:color w:val="0D0D0D" w:themeColor="text1" w:themeTint="F2"/>
          <w:sz w:val="24"/>
          <w:szCs w:val="24"/>
          <w:lang w:eastAsia="pt-BR"/>
        </w:rPr>
        <w:t>Notícia elaborada pelo Núcleo Administrativo dos Comitês e Coordenadoria de Pesquisa – PRPGP.</w:t>
      </w:r>
    </w:p>
    <w:p w:rsidR="00271EA9" w:rsidRPr="00F53900" w:rsidRDefault="00271EA9" w:rsidP="00360811">
      <w:pPr>
        <w:shd w:val="clear" w:color="auto" w:fill="FFFFFF"/>
        <w:spacing w:after="0" w:line="240" w:lineRule="auto"/>
        <w:rPr>
          <w:rFonts w:asciiTheme="majorHAnsi" w:eastAsia="Times New Roman" w:hAnsiTheme="majorHAnsi" w:cs="Arial"/>
          <w:color w:val="0D0D0D" w:themeColor="text1" w:themeTint="F2"/>
          <w:sz w:val="24"/>
          <w:szCs w:val="24"/>
          <w:lang w:eastAsia="pt-BR"/>
        </w:rPr>
      </w:pPr>
      <w:r>
        <w:rPr>
          <w:rFonts w:asciiTheme="majorHAnsi" w:eastAsia="Times New Roman" w:hAnsiTheme="majorHAnsi" w:cs="Arial"/>
          <w:color w:val="0D0D0D" w:themeColor="text1" w:themeTint="F2"/>
          <w:sz w:val="24"/>
          <w:szCs w:val="24"/>
          <w:lang w:eastAsia="pt-BR"/>
        </w:rPr>
        <w:t>Dúvidas podem ser encaminhadas ao Núcleo Administrativo de Comitês através do e-mail: ceua.ufsm@gmail.com.</w:t>
      </w:r>
    </w:p>
    <w:p w:rsidR="00F53900" w:rsidRPr="00F53900" w:rsidRDefault="00F53900" w:rsidP="00360811">
      <w:pPr>
        <w:shd w:val="clear" w:color="auto" w:fill="FFFFFF"/>
        <w:spacing w:after="0" w:line="240" w:lineRule="auto"/>
        <w:rPr>
          <w:rFonts w:asciiTheme="majorHAnsi" w:eastAsia="Times New Roman" w:hAnsiTheme="majorHAnsi" w:cs="Arial"/>
          <w:color w:val="0D0D0D" w:themeColor="text1" w:themeTint="F2"/>
          <w:sz w:val="24"/>
          <w:szCs w:val="24"/>
          <w:lang w:eastAsia="pt-BR"/>
        </w:rPr>
      </w:pPr>
      <w:r w:rsidRPr="00F53900">
        <w:rPr>
          <w:rFonts w:asciiTheme="majorHAnsi" w:eastAsia="Times New Roman" w:hAnsiTheme="majorHAnsi" w:cs="Arial"/>
          <w:color w:val="0D0D0D" w:themeColor="text1" w:themeTint="F2"/>
          <w:sz w:val="24"/>
          <w:szCs w:val="24"/>
          <w:lang w:eastAsia="pt-BR"/>
        </w:rPr>
        <w:t xml:space="preserve">Mais informações podem ser obtidas em: </w:t>
      </w:r>
      <w:hyperlink r:id="rId5" w:history="1">
        <w:r w:rsidRPr="00F53900">
          <w:rPr>
            <w:rStyle w:val="Hyperlink"/>
            <w:rFonts w:asciiTheme="majorHAnsi" w:hAnsiTheme="majorHAnsi"/>
            <w:sz w:val="24"/>
            <w:szCs w:val="24"/>
          </w:rPr>
          <w:t>www.ufsm.br/pro-reitorias/prpgp/patrimonio-genetico/</w:t>
        </w:r>
      </w:hyperlink>
      <w:r w:rsidR="00271EA9">
        <w:t>.</w:t>
      </w:r>
    </w:p>
    <w:p w:rsidR="00360811" w:rsidRDefault="00360811" w:rsidP="00EC63AD">
      <w:pPr>
        <w:shd w:val="clear" w:color="auto" w:fill="FFFFFF"/>
        <w:spacing w:after="0" w:line="240" w:lineRule="auto"/>
        <w:rPr>
          <w:rFonts w:asciiTheme="majorHAnsi" w:hAnsiTheme="majorHAnsi" w:cs="Arial"/>
          <w:color w:val="000000"/>
          <w:sz w:val="24"/>
          <w:szCs w:val="24"/>
          <w:shd w:val="clear" w:color="auto" w:fill="FFFFFF"/>
        </w:rPr>
      </w:pPr>
    </w:p>
    <w:p w:rsidR="00F53900" w:rsidRDefault="00F53900" w:rsidP="00EC63AD">
      <w:pPr>
        <w:shd w:val="clear" w:color="auto" w:fill="FFFFFF"/>
        <w:spacing w:after="0" w:line="240" w:lineRule="auto"/>
        <w:rPr>
          <w:rFonts w:asciiTheme="majorHAnsi" w:hAnsiTheme="majorHAnsi" w:cs="Arial"/>
          <w:color w:val="000000"/>
          <w:sz w:val="24"/>
          <w:szCs w:val="24"/>
          <w:shd w:val="clear" w:color="auto" w:fill="FFFFFF"/>
        </w:rPr>
      </w:pPr>
    </w:p>
    <w:p w:rsidR="00F53900" w:rsidRPr="00F53900" w:rsidRDefault="00F53900" w:rsidP="00EC63AD">
      <w:pPr>
        <w:shd w:val="clear" w:color="auto" w:fill="FFFFFF"/>
        <w:spacing w:after="0" w:line="240" w:lineRule="auto"/>
        <w:rPr>
          <w:rFonts w:asciiTheme="majorHAnsi" w:hAnsiTheme="majorHAnsi" w:cs="Arial"/>
          <w:color w:val="000000"/>
          <w:sz w:val="24"/>
          <w:szCs w:val="24"/>
          <w:shd w:val="clear" w:color="auto" w:fill="FFFFFF"/>
        </w:rPr>
      </w:pPr>
    </w:p>
    <w:p w:rsidR="00360811" w:rsidRPr="00F53900" w:rsidRDefault="002D571F" w:rsidP="00F97FD6">
      <w:pPr>
        <w:shd w:val="clear" w:color="auto" w:fill="FFFFFF"/>
        <w:spacing w:after="0" w:line="240" w:lineRule="auto"/>
        <w:rPr>
          <w:rFonts w:asciiTheme="majorHAnsi" w:hAnsiTheme="majorHAnsi" w:cs="Arial"/>
          <w:color w:val="0D0D0D" w:themeColor="text1" w:themeTint="F2"/>
          <w:sz w:val="24"/>
          <w:szCs w:val="24"/>
          <w:shd w:val="clear" w:color="auto" w:fill="FFFFFF"/>
        </w:rPr>
      </w:pPr>
      <w:r w:rsidRPr="00F53900">
        <w:rPr>
          <w:rFonts w:asciiTheme="majorHAnsi" w:hAnsiTheme="majorHAnsi" w:cs="Arial"/>
          <w:color w:val="0D0D0D" w:themeColor="text1" w:themeTint="F2"/>
          <w:sz w:val="24"/>
          <w:szCs w:val="24"/>
          <w:shd w:val="clear" w:color="auto" w:fill="FFFFFF"/>
        </w:rPr>
        <w:t>PATRIMÔNIO GENÉTICO</w:t>
      </w:r>
      <w:r w:rsidR="00BC5A65" w:rsidRPr="00F53900">
        <w:rPr>
          <w:rFonts w:asciiTheme="majorHAnsi" w:hAnsiTheme="majorHAnsi" w:cs="Arial"/>
          <w:color w:val="0D0D0D" w:themeColor="text1" w:themeTint="F2"/>
          <w:sz w:val="24"/>
          <w:szCs w:val="24"/>
          <w:shd w:val="clear" w:color="auto" w:fill="FFFFFF"/>
        </w:rPr>
        <w:t xml:space="preserve"> (PG)</w:t>
      </w:r>
    </w:p>
    <w:p w:rsidR="002D571F" w:rsidRPr="00F97FD6" w:rsidRDefault="00BC5A65" w:rsidP="00F97FD6">
      <w:pPr>
        <w:spacing w:after="0" w:line="240" w:lineRule="auto"/>
        <w:rPr>
          <w:rFonts w:asciiTheme="majorHAnsi" w:eastAsia="Times New Roman" w:hAnsiTheme="majorHAnsi" w:cs="Arial"/>
          <w:color w:val="0D0D0D" w:themeColor="text1" w:themeTint="F2"/>
          <w:sz w:val="24"/>
          <w:szCs w:val="24"/>
          <w:lang w:eastAsia="pt-BR"/>
        </w:rPr>
      </w:pPr>
      <w:r w:rsidRPr="00F53900">
        <w:rPr>
          <w:rFonts w:asciiTheme="majorHAnsi" w:eastAsia="Times New Roman" w:hAnsiTheme="majorHAnsi" w:cs="Arial"/>
          <w:color w:val="0D0D0D" w:themeColor="text1" w:themeTint="F2"/>
          <w:sz w:val="24"/>
          <w:szCs w:val="24"/>
          <w:lang w:eastAsia="pt-BR"/>
        </w:rPr>
        <w:t>Conforme a</w:t>
      </w:r>
      <w:r w:rsidR="002D571F" w:rsidRPr="00F53900">
        <w:rPr>
          <w:rFonts w:asciiTheme="majorHAnsi" w:eastAsia="Times New Roman" w:hAnsiTheme="majorHAnsi" w:cs="Arial"/>
          <w:color w:val="0D0D0D" w:themeColor="text1" w:themeTint="F2"/>
          <w:sz w:val="24"/>
          <w:szCs w:val="24"/>
          <w:lang w:eastAsia="pt-BR"/>
        </w:rPr>
        <w:t xml:space="preserve"> Lei n. 13.123/2015</w:t>
      </w:r>
      <w:r w:rsidRPr="00F53900">
        <w:rPr>
          <w:rFonts w:asciiTheme="majorHAnsi" w:eastAsia="Times New Roman" w:hAnsiTheme="majorHAnsi" w:cs="Arial"/>
          <w:color w:val="0D0D0D" w:themeColor="text1" w:themeTint="F2"/>
          <w:sz w:val="24"/>
          <w:szCs w:val="24"/>
          <w:lang w:eastAsia="pt-BR"/>
        </w:rPr>
        <w:t xml:space="preserve">, o patrimônio genético brasileiro é </w:t>
      </w:r>
      <w:r w:rsidR="002D571F" w:rsidRPr="00F53900">
        <w:rPr>
          <w:rFonts w:asciiTheme="majorHAnsi" w:eastAsia="Times New Roman" w:hAnsiTheme="majorHAnsi" w:cs="Arial"/>
          <w:color w:val="0D0D0D" w:themeColor="text1" w:themeTint="F2"/>
          <w:sz w:val="24"/>
          <w:szCs w:val="24"/>
          <w:lang w:eastAsia="pt-BR"/>
        </w:rPr>
        <w:t>"</w:t>
      </w:r>
      <w:r w:rsidR="002D571F" w:rsidRPr="00F53900">
        <w:rPr>
          <w:rFonts w:asciiTheme="majorHAnsi" w:hAnsiTheme="majorHAnsi" w:cs="Arial"/>
          <w:color w:val="0D0D0D" w:themeColor="text1" w:themeTint="F2"/>
          <w:sz w:val="24"/>
          <w:szCs w:val="24"/>
        </w:rPr>
        <w:t>bem de uso comum do povo encontrado em condições </w:t>
      </w:r>
      <w:r w:rsidR="002D571F" w:rsidRPr="00F53900">
        <w:rPr>
          <w:rFonts w:asciiTheme="majorHAnsi" w:hAnsiTheme="majorHAnsi" w:cs="Arial"/>
          <w:bCs/>
          <w:i/>
          <w:color w:val="0D0D0D" w:themeColor="text1" w:themeTint="F2"/>
          <w:sz w:val="24"/>
          <w:szCs w:val="24"/>
        </w:rPr>
        <w:t>in situ</w:t>
      </w:r>
      <w:r w:rsidR="002D571F" w:rsidRPr="00F53900">
        <w:rPr>
          <w:rFonts w:asciiTheme="majorHAnsi" w:hAnsiTheme="majorHAnsi" w:cs="Arial"/>
          <w:color w:val="0D0D0D" w:themeColor="text1" w:themeTint="F2"/>
          <w:sz w:val="24"/>
          <w:szCs w:val="24"/>
        </w:rPr>
        <w:t>, inclusive as espécies domesticadas e populações espontâneas, ou mantido em condições </w:t>
      </w:r>
      <w:r w:rsidR="002D571F" w:rsidRPr="00F53900">
        <w:rPr>
          <w:rFonts w:asciiTheme="majorHAnsi" w:hAnsiTheme="majorHAnsi" w:cs="Arial"/>
          <w:bCs/>
          <w:i/>
          <w:color w:val="0D0D0D" w:themeColor="text1" w:themeTint="F2"/>
          <w:sz w:val="24"/>
          <w:szCs w:val="24"/>
        </w:rPr>
        <w:t>ex situ</w:t>
      </w:r>
      <w:r w:rsidR="002D571F" w:rsidRPr="00F53900">
        <w:rPr>
          <w:rFonts w:asciiTheme="majorHAnsi" w:hAnsiTheme="majorHAnsi" w:cs="Arial"/>
          <w:color w:val="0D0D0D" w:themeColor="text1" w:themeTint="F2"/>
          <w:sz w:val="24"/>
          <w:szCs w:val="24"/>
        </w:rPr>
        <w:t>, desde que encontrado em condições </w:t>
      </w:r>
      <w:r w:rsidR="002D571F" w:rsidRPr="00F53900">
        <w:rPr>
          <w:rFonts w:asciiTheme="majorHAnsi" w:hAnsiTheme="majorHAnsi" w:cs="Arial"/>
          <w:bCs/>
          <w:i/>
          <w:color w:val="0D0D0D" w:themeColor="text1" w:themeTint="F2"/>
          <w:sz w:val="24"/>
          <w:szCs w:val="24"/>
        </w:rPr>
        <w:t>in situ</w:t>
      </w:r>
      <w:r w:rsidR="002D571F" w:rsidRPr="00F53900">
        <w:rPr>
          <w:rFonts w:asciiTheme="majorHAnsi" w:hAnsiTheme="majorHAnsi" w:cs="Arial"/>
          <w:bCs/>
          <w:color w:val="0D0D0D" w:themeColor="text1" w:themeTint="F2"/>
          <w:sz w:val="24"/>
          <w:szCs w:val="24"/>
        </w:rPr>
        <w:t> </w:t>
      </w:r>
      <w:r w:rsidR="002D571F" w:rsidRPr="00F53900">
        <w:rPr>
          <w:rFonts w:asciiTheme="majorHAnsi" w:hAnsiTheme="majorHAnsi" w:cs="Arial"/>
          <w:color w:val="0D0D0D" w:themeColor="text1" w:themeTint="F2"/>
          <w:sz w:val="24"/>
          <w:szCs w:val="24"/>
        </w:rPr>
        <w:t>no território nacional, na plataforma</w:t>
      </w:r>
      <w:r w:rsidR="002D571F" w:rsidRPr="00F97FD6">
        <w:rPr>
          <w:rFonts w:asciiTheme="majorHAnsi" w:hAnsiTheme="majorHAnsi" w:cs="Arial"/>
          <w:color w:val="0D0D0D" w:themeColor="text1" w:themeTint="F2"/>
          <w:sz w:val="24"/>
          <w:szCs w:val="24"/>
        </w:rPr>
        <w:t xml:space="preserve"> continental, no mar territorial e na zona econômica exclusiva</w:t>
      </w:r>
      <w:r w:rsidR="002D571F" w:rsidRPr="00F97FD6">
        <w:rPr>
          <w:rFonts w:asciiTheme="majorHAnsi" w:eastAsia="Times New Roman" w:hAnsiTheme="majorHAnsi" w:cs="Arial"/>
          <w:color w:val="0D0D0D" w:themeColor="text1" w:themeTint="F2"/>
          <w:sz w:val="24"/>
          <w:szCs w:val="24"/>
          <w:lang w:eastAsia="pt-BR"/>
        </w:rPr>
        <w:t>" (art. 1º, inciso I).</w:t>
      </w:r>
    </w:p>
    <w:p w:rsidR="00BC5A65" w:rsidRPr="00F97FD6" w:rsidRDefault="002D571F" w:rsidP="00F97FD6">
      <w:pPr>
        <w:autoSpaceDE w:val="0"/>
        <w:autoSpaceDN w:val="0"/>
        <w:adjustRightInd w:val="0"/>
        <w:spacing w:after="0" w:line="240" w:lineRule="auto"/>
        <w:rPr>
          <w:rFonts w:asciiTheme="majorHAnsi" w:eastAsia="Times New Roman" w:hAnsiTheme="majorHAnsi" w:cs="Arial"/>
          <w:color w:val="0D0D0D" w:themeColor="text1" w:themeTint="F2"/>
          <w:sz w:val="24"/>
          <w:szCs w:val="24"/>
          <w:lang w:eastAsia="pt-BR"/>
        </w:rPr>
      </w:pPr>
      <w:r w:rsidRPr="00F97FD6">
        <w:rPr>
          <w:rFonts w:asciiTheme="majorHAnsi" w:hAnsiTheme="majorHAnsi" w:cs="Arial"/>
          <w:color w:val="0D0D0D" w:themeColor="text1" w:themeTint="F2"/>
          <w:sz w:val="24"/>
          <w:szCs w:val="24"/>
        </w:rPr>
        <w:t>O patrimônio genético é definido como “informação de origem genética de espécies vegetais, animais, microbianas ou espécies de outra natureza, incluindo substâncias oriundas do metabolismo destes seres vivos”</w:t>
      </w:r>
      <w:r w:rsidRPr="00F97FD6">
        <w:rPr>
          <w:rFonts w:asciiTheme="majorHAnsi" w:eastAsia="Times New Roman" w:hAnsiTheme="majorHAnsi" w:cs="Arial"/>
          <w:color w:val="0D0D0D" w:themeColor="text1" w:themeTint="F2"/>
          <w:sz w:val="24"/>
          <w:szCs w:val="24"/>
          <w:lang w:eastAsia="pt-BR"/>
        </w:rPr>
        <w:t xml:space="preserve"> (art. 2º, inciso I)</w:t>
      </w:r>
      <w:r w:rsidR="00BC5A65" w:rsidRPr="00F97FD6">
        <w:rPr>
          <w:rFonts w:asciiTheme="majorHAnsi" w:eastAsia="Times New Roman" w:hAnsiTheme="majorHAnsi" w:cs="Arial"/>
          <w:color w:val="0D0D0D" w:themeColor="text1" w:themeTint="F2"/>
          <w:sz w:val="24"/>
          <w:szCs w:val="24"/>
          <w:lang w:eastAsia="pt-BR"/>
        </w:rPr>
        <w:t>. A</w:t>
      </w:r>
      <w:r w:rsidR="0047155F" w:rsidRPr="00F97FD6">
        <w:rPr>
          <w:rFonts w:asciiTheme="majorHAnsi" w:eastAsia="Times New Roman" w:hAnsiTheme="majorHAnsi" w:cs="Arial"/>
          <w:color w:val="0D0D0D" w:themeColor="text1" w:themeTint="F2"/>
          <w:sz w:val="24"/>
          <w:szCs w:val="24"/>
          <w:lang w:eastAsia="pt-BR"/>
        </w:rPr>
        <w:t>lém disso, "c</w:t>
      </w:r>
      <w:r w:rsidR="0047155F" w:rsidRPr="00F97FD6">
        <w:rPr>
          <w:rFonts w:asciiTheme="majorHAnsi" w:eastAsia="Times New Roman" w:hAnsiTheme="majorHAnsi" w:cs="Arial"/>
          <w:iCs/>
          <w:color w:val="0D0D0D" w:themeColor="text1" w:themeTint="F2"/>
          <w:sz w:val="24"/>
          <w:szCs w:val="24"/>
          <w:lang w:eastAsia="pt-BR"/>
        </w:rPr>
        <w:t>onsidera-se parte do patrimônio genético existente no território nacional, para os efeitos desta Lei, o microrganismo que tenha sido isolado a partir de substratos do território nacional, do mar territorial, da zona econômica exclusiva ou da plataforma continental</w:t>
      </w:r>
      <w:r w:rsidR="0047155F" w:rsidRPr="00F97FD6">
        <w:rPr>
          <w:rFonts w:asciiTheme="majorHAnsi" w:eastAsia="Times New Roman" w:hAnsiTheme="majorHAnsi" w:cs="Arial"/>
          <w:color w:val="0D0D0D" w:themeColor="text1" w:themeTint="F2"/>
          <w:sz w:val="24"/>
          <w:szCs w:val="24"/>
          <w:lang w:eastAsia="pt-BR"/>
        </w:rPr>
        <w:t>" (art. 2º, parágrafo único)</w:t>
      </w:r>
      <w:r w:rsidRPr="00F97FD6">
        <w:rPr>
          <w:rFonts w:asciiTheme="majorHAnsi" w:eastAsia="Times New Roman" w:hAnsiTheme="majorHAnsi" w:cs="Arial"/>
          <w:color w:val="0D0D0D" w:themeColor="text1" w:themeTint="F2"/>
          <w:sz w:val="24"/>
          <w:szCs w:val="24"/>
          <w:lang w:eastAsia="pt-BR"/>
        </w:rPr>
        <w:t xml:space="preserve">. </w:t>
      </w:r>
      <w:r w:rsidR="00BC5A65" w:rsidRPr="00F97FD6">
        <w:rPr>
          <w:rFonts w:asciiTheme="majorHAnsi" w:eastAsia="Times New Roman" w:hAnsiTheme="majorHAnsi" w:cs="Arial"/>
          <w:color w:val="0D0D0D" w:themeColor="text1" w:themeTint="F2"/>
          <w:sz w:val="24"/>
          <w:szCs w:val="24"/>
          <w:lang w:eastAsia="pt-BR"/>
        </w:rPr>
        <w:t xml:space="preserve"> </w:t>
      </w:r>
    </w:p>
    <w:p w:rsidR="00BC5A65" w:rsidRPr="00F97FD6" w:rsidRDefault="00BC5A65" w:rsidP="00F97FD6">
      <w:pPr>
        <w:pStyle w:val="NormalWeb"/>
        <w:shd w:val="clear" w:color="auto" w:fill="FFFFFF"/>
        <w:spacing w:before="0" w:beforeAutospacing="0" w:after="0" w:afterAutospacing="0"/>
        <w:rPr>
          <w:rFonts w:asciiTheme="majorHAnsi" w:hAnsiTheme="majorHAnsi" w:cs="Arial"/>
          <w:color w:val="0D0D0D" w:themeColor="text1" w:themeTint="F2"/>
        </w:rPr>
      </w:pPr>
      <w:r w:rsidRPr="00F97FD6">
        <w:rPr>
          <w:rFonts w:asciiTheme="majorHAnsi" w:hAnsiTheme="majorHAnsi" w:cs="Arial"/>
          <w:color w:val="0D0D0D" w:themeColor="text1" w:themeTint="F2"/>
        </w:rPr>
        <w:t>Em resumo, o p</w:t>
      </w:r>
      <w:r w:rsidRPr="00F97FD6">
        <w:rPr>
          <w:rFonts w:asciiTheme="majorHAnsi" w:hAnsiTheme="majorHAnsi" w:cs="Arial"/>
          <w:color w:val="0D0D0D" w:themeColor="text1" w:themeTint="F2"/>
          <w:shd w:val="clear" w:color="auto" w:fill="FFFFFF"/>
        </w:rPr>
        <w:t xml:space="preserve">atrimônio genético nacional é toda informação de origem genética que está contida nos organismos que ocorrem de forma natural no Brasil, ou seja, de seres vivos nativos ou daqueles que adquiriram características específicas no território nacional. </w:t>
      </w:r>
      <w:r w:rsidRPr="00F97FD6">
        <w:rPr>
          <w:rFonts w:asciiTheme="majorHAnsi" w:hAnsiTheme="majorHAnsi" w:cs="Arial"/>
          <w:color w:val="0D0D0D" w:themeColor="text1" w:themeTint="F2"/>
        </w:rPr>
        <w:t>Também são consideradas como patrimônio genético (PG) nacional as variedades tradicionais locais ou crioulas de plantas e as raças localmente adaptadas ou crioulas de animais. Estes patrimônios genéticos sempre estarão relacionados a algum conhecimento tradicional associado (CTA) ao patrimônio genético.</w:t>
      </w:r>
    </w:p>
    <w:p w:rsidR="002D571F" w:rsidRPr="00F97FD6" w:rsidRDefault="002D571F" w:rsidP="00F97FD6">
      <w:pPr>
        <w:autoSpaceDE w:val="0"/>
        <w:autoSpaceDN w:val="0"/>
        <w:adjustRightInd w:val="0"/>
        <w:spacing w:after="0" w:line="240" w:lineRule="auto"/>
        <w:rPr>
          <w:rFonts w:asciiTheme="majorHAnsi" w:hAnsiTheme="majorHAnsi" w:cs="Arial"/>
          <w:color w:val="0D0D0D" w:themeColor="text1" w:themeTint="F2"/>
          <w:sz w:val="24"/>
          <w:szCs w:val="24"/>
        </w:rPr>
      </w:pPr>
      <w:r w:rsidRPr="00F97FD6">
        <w:rPr>
          <w:rFonts w:asciiTheme="majorHAnsi" w:eastAsia="Times New Roman" w:hAnsiTheme="majorHAnsi" w:cs="Arial"/>
          <w:color w:val="0D0D0D" w:themeColor="text1" w:themeTint="F2"/>
          <w:sz w:val="24"/>
          <w:szCs w:val="24"/>
          <w:lang w:eastAsia="pt-BR"/>
        </w:rPr>
        <w:t>Já o acesso ao patrimônio genético é definido como “</w:t>
      </w:r>
      <w:r w:rsidRPr="00F97FD6">
        <w:rPr>
          <w:rFonts w:asciiTheme="majorHAnsi" w:hAnsiTheme="majorHAnsi" w:cs="Arial"/>
          <w:color w:val="0D0D0D" w:themeColor="text1" w:themeTint="F2"/>
          <w:sz w:val="24"/>
          <w:szCs w:val="24"/>
        </w:rPr>
        <w:t>pesquisa ou desenvolvimento tecnológico realizado sobre amostra de patrimônio genético” (art. 2º, inciso VIII).</w:t>
      </w:r>
    </w:p>
    <w:p w:rsidR="0047155F" w:rsidRPr="00F97FD6" w:rsidRDefault="0047155F" w:rsidP="00F97FD6">
      <w:pPr>
        <w:shd w:val="clear" w:color="auto" w:fill="FFFFFF"/>
        <w:spacing w:after="0" w:line="240" w:lineRule="auto"/>
        <w:rPr>
          <w:rFonts w:asciiTheme="majorHAnsi" w:hAnsiTheme="majorHAnsi" w:cs="Arial"/>
          <w:color w:val="0D0D0D" w:themeColor="text1" w:themeTint="F2"/>
          <w:sz w:val="24"/>
          <w:szCs w:val="24"/>
          <w:shd w:val="clear" w:color="auto" w:fill="FFFFFF"/>
        </w:rPr>
      </w:pPr>
    </w:p>
    <w:p w:rsidR="002D571F" w:rsidRPr="00F97FD6" w:rsidRDefault="002D571F" w:rsidP="00F97FD6">
      <w:pPr>
        <w:shd w:val="clear" w:color="auto" w:fill="FFFFFF"/>
        <w:spacing w:after="0" w:line="240" w:lineRule="auto"/>
        <w:rPr>
          <w:rFonts w:asciiTheme="majorHAnsi" w:hAnsiTheme="majorHAnsi" w:cs="Arial"/>
          <w:color w:val="0D0D0D" w:themeColor="text1" w:themeTint="F2"/>
          <w:sz w:val="24"/>
          <w:szCs w:val="24"/>
          <w:shd w:val="clear" w:color="auto" w:fill="FFFFFF"/>
        </w:rPr>
      </w:pPr>
      <w:r w:rsidRPr="00F97FD6">
        <w:rPr>
          <w:rFonts w:asciiTheme="majorHAnsi" w:hAnsiTheme="majorHAnsi" w:cs="Arial"/>
          <w:color w:val="0D0D0D" w:themeColor="text1" w:themeTint="F2"/>
          <w:sz w:val="24"/>
          <w:szCs w:val="24"/>
          <w:shd w:val="clear" w:color="auto" w:fill="FFFFFF"/>
        </w:rPr>
        <w:t>CONHECIMENTO TRADICIONAL ASSOCIADO</w:t>
      </w:r>
      <w:r w:rsidR="00BC5A65" w:rsidRPr="00F97FD6">
        <w:rPr>
          <w:rFonts w:asciiTheme="majorHAnsi" w:hAnsiTheme="majorHAnsi" w:cs="Arial"/>
          <w:color w:val="0D0D0D" w:themeColor="text1" w:themeTint="F2"/>
          <w:sz w:val="24"/>
          <w:szCs w:val="24"/>
          <w:shd w:val="clear" w:color="auto" w:fill="FFFFFF"/>
        </w:rPr>
        <w:t xml:space="preserve"> (CTA) AO PATRIMÔNIO GENÉTICO</w:t>
      </w:r>
    </w:p>
    <w:p w:rsidR="002D571F" w:rsidRPr="00F97FD6" w:rsidRDefault="002D571F" w:rsidP="00F97FD6">
      <w:pPr>
        <w:spacing w:after="0" w:line="240" w:lineRule="auto"/>
        <w:rPr>
          <w:rFonts w:asciiTheme="majorHAnsi" w:eastAsia="Times New Roman" w:hAnsiTheme="majorHAnsi" w:cs="Arial"/>
          <w:color w:val="0D0D0D" w:themeColor="text1" w:themeTint="F2"/>
          <w:sz w:val="24"/>
          <w:szCs w:val="24"/>
          <w:lang w:eastAsia="pt-BR"/>
        </w:rPr>
      </w:pPr>
      <w:r w:rsidRPr="00F97FD6">
        <w:rPr>
          <w:rFonts w:asciiTheme="majorHAnsi" w:eastAsia="Times New Roman" w:hAnsiTheme="majorHAnsi" w:cs="Arial"/>
          <w:color w:val="0D0D0D" w:themeColor="text1" w:themeTint="F2"/>
          <w:sz w:val="24"/>
          <w:szCs w:val="24"/>
          <w:lang w:eastAsia="pt-BR"/>
        </w:rPr>
        <w:t>A Lei n. 13.123/2015 dispõe sobre bens, direitos e obrigações relativos, entre outros, "</w:t>
      </w:r>
      <w:r w:rsidRPr="00F97FD6">
        <w:rPr>
          <w:rFonts w:asciiTheme="majorHAnsi" w:eastAsia="Times New Roman" w:hAnsiTheme="majorHAnsi" w:cs="Arial"/>
          <w:iCs/>
          <w:color w:val="0D0D0D" w:themeColor="text1" w:themeTint="F2"/>
          <w:sz w:val="24"/>
          <w:szCs w:val="24"/>
          <w:lang w:eastAsia="pt-BR"/>
        </w:rPr>
        <w:t>ao conhecimento tradicional associado ao patrimônio genético, relevante à conservação da diversidade biológica, à integridade do patrimônio genético do País e à utilização de seus componentes</w:t>
      </w:r>
      <w:r w:rsidRPr="00F97FD6">
        <w:rPr>
          <w:rFonts w:asciiTheme="majorHAnsi" w:eastAsia="Times New Roman" w:hAnsiTheme="majorHAnsi" w:cs="Arial"/>
          <w:color w:val="0D0D0D" w:themeColor="text1" w:themeTint="F2"/>
          <w:sz w:val="24"/>
          <w:szCs w:val="24"/>
          <w:lang w:eastAsia="pt-BR"/>
        </w:rPr>
        <w:t>" (art. 1º, inciso II).</w:t>
      </w:r>
    </w:p>
    <w:p w:rsidR="002D571F" w:rsidRDefault="002D571F" w:rsidP="00F97FD6">
      <w:pPr>
        <w:spacing w:after="0" w:line="240" w:lineRule="auto"/>
        <w:rPr>
          <w:rFonts w:asciiTheme="majorHAnsi" w:eastAsia="Times New Roman" w:hAnsiTheme="majorHAnsi" w:cs="Arial"/>
          <w:color w:val="0D0D0D" w:themeColor="text1" w:themeTint="F2"/>
          <w:sz w:val="24"/>
          <w:szCs w:val="24"/>
          <w:lang w:eastAsia="pt-BR"/>
        </w:rPr>
      </w:pPr>
      <w:r w:rsidRPr="00F97FD6">
        <w:rPr>
          <w:rFonts w:asciiTheme="majorHAnsi" w:eastAsia="Times New Roman" w:hAnsiTheme="majorHAnsi" w:cs="Arial"/>
          <w:color w:val="0D0D0D" w:themeColor="text1" w:themeTint="F2"/>
          <w:sz w:val="24"/>
          <w:szCs w:val="24"/>
          <w:lang w:eastAsia="pt-BR"/>
        </w:rPr>
        <w:t>O conhecimento tradicional associado é definido como "</w:t>
      </w:r>
      <w:r w:rsidRPr="00F97FD6">
        <w:rPr>
          <w:rFonts w:asciiTheme="majorHAnsi" w:eastAsia="Times New Roman" w:hAnsiTheme="majorHAnsi" w:cs="Arial"/>
          <w:iCs/>
          <w:color w:val="0D0D0D" w:themeColor="text1" w:themeTint="F2"/>
          <w:sz w:val="24"/>
          <w:szCs w:val="24"/>
          <w:lang w:eastAsia="pt-BR"/>
        </w:rPr>
        <w:t>informação ou prática de população indígena, comunidade tradicional ou agricultor tradicional sobre as propriedades ou usos diretos ou indiretos associada ao patrimônio genético</w:t>
      </w:r>
      <w:r w:rsidR="0047155F" w:rsidRPr="00F97FD6">
        <w:rPr>
          <w:rFonts w:asciiTheme="majorHAnsi" w:eastAsia="Times New Roman" w:hAnsiTheme="majorHAnsi" w:cs="Arial"/>
          <w:color w:val="0D0D0D" w:themeColor="text1" w:themeTint="F2"/>
          <w:sz w:val="24"/>
          <w:szCs w:val="24"/>
          <w:lang w:eastAsia="pt-BR"/>
        </w:rPr>
        <w:t xml:space="preserve">" (art. 2º, inciso II). </w:t>
      </w:r>
      <w:r w:rsidRPr="00F97FD6">
        <w:rPr>
          <w:rFonts w:asciiTheme="majorHAnsi" w:eastAsia="Times New Roman" w:hAnsiTheme="majorHAnsi" w:cs="Arial"/>
          <w:color w:val="0D0D0D" w:themeColor="text1" w:themeTint="F2"/>
          <w:sz w:val="24"/>
          <w:szCs w:val="24"/>
          <w:lang w:eastAsia="pt-BR"/>
        </w:rPr>
        <w:t>"O</w:t>
      </w:r>
      <w:r w:rsidRPr="00F97FD6">
        <w:rPr>
          <w:rFonts w:asciiTheme="majorHAnsi" w:eastAsia="Times New Roman" w:hAnsiTheme="majorHAnsi" w:cs="Arial"/>
          <w:iCs/>
          <w:color w:val="0D0D0D" w:themeColor="text1" w:themeTint="F2"/>
          <w:sz w:val="24"/>
          <w:szCs w:val="24"/>
          <w:lang w:eastAsia="pt-BR"/>
        </w:rPr>
        <w:t xml:space="preserve"> conhecimento tradicional associado ao patrimônio genético de que trata esta Lei integra o patrimônio cultural brasileiro e poderá ser depositado em banco de dados, conforme dispuser o </w:t>
      </w:r>
      <w:proofErr w:type="gramStart"/>
      <w:r w:rsidRPr="00F97FD6">
        <w:rPr>
          <w:rFonts w:asciiTheme="majorHAnsi" w:eastAsia="Times New Roman" w:hAnsiTheme="majorHAnsi" w:cs="Arial"/>
          <w:iCs/>
          <w:color w:val="0D0D0D" w:themeColor="text1" w:themeTint="F2"/>
          <w:sz w:val="24"/>
          <w:szCs w:val="24"/>
          <w:lang w:eastAsia="pt-BR"/>
        </w:rPr>
        <w:t>CGen</w:t>
      </w:r>
      <w:proofErr w:type="gramEnd"/>
      <w:r w:rsidRPr="00F97FD6">
        <w:rPr>
          <w:rFonts w:asciiTheme="majorHAnsi" w:eastAsia="Times New Roman" w:hAnsiTheme="majorHAnsi" w:cs="Arial"/>
          <w:iCs/>
          <w:color w:val="0D0D0D" w:themeColor="text1" w:themeTint="F2"/>
          <w:sz w:val="24"/>
          <w:szCs w:val="24"/>
          <w:lang w:eastAsia="pt-BR"/>
        </w:rPr>
        <w:t xml:space="preserve"> ou legislação específica</w:t>
      </w:r>
      <w:r w:rsidRPr="00F97FD6">
        <w:rPr>
          <w:rFonts w:asciiTheme="majorHAnsi" w:eastAsia="Times New Roman" w:hAnsiTheme="majorHAnsi" w:cs="Arial"/>
          <w:color w:val="0D0D0D" w:themeColor="text1" w:themeTint="F2"/>
          <w:sz w:val="24"/>
          <w:szCs w:val="24"/>
          <w:lang w:eastAsia="pt-BR"/>
        </w:rPr>
        <w:t>." (art. 8º, § 2º)</w:t>
      </w:r>
    </w:p>
    <w:p w:rsidR="00BC5A65" w:rsidRPr="00F53900" w:rsidRDefault="00F97FD6" w:rsidP="00F97FD6">
      <w:pPr>
        <w:spacing w:after="0" w:line="240" w:lineRule="auto"/>
        <w:rPr>
          <w:rFonts w:asciiTheme="majorHAnsi" w:hAnsiTheme="majorHAnsi" w:cs="Arial"/>
          <w:color w:val="0D0D0D" w:themeColor="text1" w:themeTint="F2"/>
          <w:sz w:val="24"/>
          <w:szCs w:val="24"/>
          <w:shd w:val="clear" w:color="auto" w:fill="FFFFFF"/>
        </w:rPr>
      </w:pPr>
      <w:r w:rsidRPr="00F97FD6">
        <w:rPr>
          <w:rFonts w:asciiTheme="majorHAnsi" w:eastAsia="Times New Roman" w:hAnsiTheme="majorHAnsi" w:cs="Arial"/>
          <w:color w:val="0D0D0D" w:themeColor="text1" w:themeTint="F2"/>
          <w:sz w:val="24"/>
          <w:szCs w:val="24"/>
          <w:lang w:eastAsia="pt-BR"/>
        </w:rPr>
        <w:t>Já o acesso ao conhecimento tradicional associado é definido como toda "</w:t>
      </w:r>
      <w:r w:rsidRPr="00F97FD6">
        <w:rPr>
          <w:rFonts w:asciiTheme="majorHAnsi" w:eastAsia="Times New Roman" w:hAnsiTheme="majorHAnsi" w:cs="Arial"/>
          <w:iCs/>
          <w:color w:val="0D0D0D" w:themeColor="text1" w:themeTint="F2"/>
          <w:sz w:val="24"/>
          <w:szCs w:val="24"/>
          <w:lang w:eastAsia="pt-BR"/>
        </w:rPr>
        <w:t xml:space="preserve">pesquisa ou desenvolvimento tecnológico realizado sobre conhecimento tradicional associado ao patrimônio genético que possibilite ou facilite o acesso ao patrimônio genético, ainda que obtido de fontes secundárias tais como feiras, publicações, inventários, filmes, artigos científicos, cadastros e outras formas de sistematização e registro de conhecimentos </w:t>
      </w:r>
      <w:r w:rsidRPr="00F97FD6">
        <w:rPr>
          <w:rFonts w:asciiTheme="majorHAnsi" w:eastAsia="Times New Roman" w:hAnsiTheme="majorHAnsi" w:cs="Arial"/>
          <w:iCs/>
          <w:color w:val="0D0D0D" w:themeColor="text1" w:themeTint="F2"/>
          <w:sz w:val="24"/>
          <w:szCs w:val="24"/>
          <w:lang w:eastAsia="pt-BR"/>
        </w:rPr>
        <w:lastRenderedPageBreak/>
        <w:t>tradicionais associados</w:t>
      </w:r>
      <w:r w:rsidRPr="00F97FD6">
        <w:rPr>
          <w:rFonts w:asciiTheme="majorHAnsi" w:eastAsia="Times New Roman" w:hAnsiTheme="majorHAnsi" w:cs="Arial"/>
          <w:color w:val="0D0D0D" w:themeColor="text1" w:themeTint="F2"/>
          <w:sz w:val="24"/>
          <w:szCs w:val="24"/>
          <w:lang w:eastAsia="pt-BR"/>
        </w:rPr>
        <w:t>" (art. 2º, inciso IX).</w:t>
      </w:r>
      <w:r>
        <w:rPr>
          <w:rFonts w:asciiTheme="majorHAnsi" w:eastAsia="Times New Roman" w:hAnsiTheme="majorHAnsi" w:cs="Arial"/>
          <w:color w:val="0D0D0D" w:themeColor="text1" w:themeTint="F2"/>
          <w:sz w:val="24"/>
          <w:szCs w:val="24"/>
          <w:lang w:eastAsia="pt-BR"/>
        </w:rPr>
        <w:t xml:space="preserve"> Ou seja, a</w:t>
      </w:r>
      <w:r w:rsidR="00BC5A65" w:rsidRPr="00F97FD6">
        <w:rPr>
          <w:rFonts w:asciiTheme="majorHAnsi" w:hAnsiTheme="majorHAnsi" w:cs="Arial"/>
          <w:color w:val="0D0D0D" w:themeColor="text1" w:themeTint="F2"/>
          <w:sz w:val="24"/>
          <w:szCs w:val="24"/>
          <w:shd w:val="clear" w:color="auto" w:fill="FFFFFF"/>
        </w:rPr>
        <w:t xml:space="preserve">cesso ao conhecimento tradicional associado (CTA) é a realização de pesquisa ou desenvolvimento tecnológico sobre este conhecimento tradicional que possibilite ou facilite o acesso ao patrimônio genético. Mesmo quando este CTA tenha sido obtido por uma fonte secundária (por exemplo, uma feira, </w:t>
      </w:r>
      <w:r w:rsidR="00BC5A65" w:rsidRPr="00F53900">
        <w:rPr>
          <w:rFonts w:asciiTheme="majorHAnsi" w:hAnsiTheme="majorHAnsi" w:cs="Arial"/>
          <w:color w:val="0D0D0D" w:themeColor="text1" w:themeTint="F2"/>
          <w:sz w:val="24"/>
          <w:szCs w:val="24"/>
          <w:shd w:val="clear" w:color="auto" w:fill="FFFFFF"/>
        </w:rPr>
        <w:t>publicação, inventário, filme, artigo científico ou outra forma), a realização de pesquisa ou desenvolvimento tecnológico a partir deste CTA ainda será considerada como acesso (Art. 2º, inciso IX da </w:t>
      </w:r>
      <w:hyperlink r:id="rId6" w:tgtFrame="_blank" w:history="1">
        <w:r w:rsidR="008D42BB" w:rsidRPr="00F53900">
          <w:rPr>
            <w:rStyle w:val="Hyperlink"/>
            <w:rFonts w:asciiTheme="majorHAnsi" w:hAnsiTheme="majorHAnsi" w:cs="Arial"/>
            <w:color w:val="0D0D0D" w:themeColor="text1" w:themeTint="F2"/>
            <w:sz w:val="24"/>
            <w:szCs w:val="24"/>
            <w:u w:val="none"/>
            <w:shd w:val="clear" w:color="auto" w:fill="FFFFFF"/>
          </w:rPr>
          <w:t>Lei nº 13.123/2015</w:t>
        </w:r>
      </w:hyperlink>
      <w:r w:rsidR="00BC5A65" w:rsidRPr="00F53900">
        <w:rPr>
          <w:rFonts w:asciiTheme="majorHAnsi" w:hAnsiTheme="majorHAnsi" w:cs="Arial"/>
          <w:color w:val="0D0D0D" w:themeColor="text1" w:themeTint="F2"/>
          <w:sz w:val="24"/>
          <w:szCs w:val="24"/>
          <w:shd w:val="clear" w:color="auto" w:fill="FFFFFF"/>
        </w:rPr>
        <w:t>).</w:t>
      </w:r>
    </w:p>
    <w:p w:rsidR="00F53900" w:rsidRDefault="00F53900" w:rsidP="009916F3">
      <w:pPr>
        <w:spacing w:after="0" w:line="240" w:lineRule="auto"/>
        <w:rPr>
          <w:rFonts w:asciiTheme="majorHAnsi" w:hAnsiTheme="majorHAnsi" w:cs="Arial"/>
          <w:color w:val="0D0D0D" w:themeColor="text1" w:themeTint="F2"/>
          <w:sz w:val="24"/>
          <w:szCs w:val="24"/>
          <w:shd w:val="clear" w:color="auto" w:fill="FFFFFF"/>
        </w:rPr>
      </w:pPr>
    </w:p>
    <w:p w:rsidR="000F239E" w:rsidRPr="00F53900" w:rsidRDefault="000F239E" w:rsidP="009916F3">
      <w:pPr>
        <w:spacing w:after="0" w:line="240" w:lineRule="auto"/>
        <w:rPr>
          <w:rFonts w:asciiTheme="majorHAnsi" w:hAnsiTheme="majorHAnsi" w:cs="Arial"/>
          <w:color w:val="0D0D0D" w:themeColor="text1" w:themeTint="F2"/>
          <w:sz w:val="24"/>
          <w:szCs w:val="24"/>
          <w:shd w:val="clear" w:color="auto" w:fill="FFFFFF"/>
        </w:rPr>
      </w:pPr>
    </w:p>
    <w:p w:rsidR="00F97FD6" w:rsidRPr="00F53900" w:rsidRDefault="00F97FD6" w:rsidP="009916F3">
      <w:pPr>
        <w:spacing w:after="0" w:line="240" w:lineRule="auto"/>
        <w:rPr>
          <w:rFonts w:asciiTheme="majorHAnsi" w:hAnsiTheme="majorHAnsi" w:cs="Arial"/>
          <w:color w:val="0D0D0D" w:themeColor="text1" w:themeTint="F2"/>
          <w:sz w:val="24"/>
          <w:szCs w:val="24"/>
          <w:shd w:val="clear" w:color="auto" w:fill="FFFFFF"/>
        </w:rPr>
      </w:pPr>
      <w:r w:rsidRPr="00F53900">
        <w:rPr>
          <w:rFonts w:asciiTheme="majorHAnsi" w:hAnsiTheme="majorHAnsi" w:cs="Arial"/>
          <w:color w:val="0D0D0D" w:themeColor="text1" w:themeTint="F2"/>
          <w:sz w:val="24"/>
          <w:szCs w:val="24"/>
          <w:shd w:val="clear" w:color="auto" w:fill="FFFFFF"/>
        </w:rPr>
        <w:t>PERGUNTAS E RESPOSTAS</w:t>
      </w:r>
      <w:r w:rsidR="008D42BB" w:rsidRPr="00F53900">
        <w:rPr>
          <w:rFonts w:asciiTheme="majorHAnsi" w:hAnsiTheme="majorHAnsi" w:cs="Arial"/>
          <w:color w:val="0D0D0D" w:themeColor="text1" w:themeTint="F2"/>
          <w:sz w:val="24"/>
          <w:szCs w:val="24"/>
          <w:shd w:val="clear" w:color="auto" w:fill="FFFFFF"/>
        </w:rPr>
        <w:t xml:space="preserve"> (outras perguntas podem ser encontradas em </w:t>
      </w:r>
      <w:hyperlink r:id="rId7" w:history="1">
        <w:r w:rsidR="008D42BB" w:rsidRPr="00F53900">
          <w:rPr>
            <w:rStyle w:val="Hyperlink"/>
            <w:rFonts w:asciiTheme="majorHAnsi" w:hAnsiTheme="majorHAnsi"/>
            <w:sz w:val="24"/>
            <w:szCs w:val="24"/>
          </w:rPr>
          <w:t>www.ufsm.br/pro-reitorias/prpgp/patrimonio-genetico---perguntas-e-respostas/</w:t>
        </w:r>
      </w:hyperlink>
      <w:r w:rsidR="008D42BB" w:rsidRPr="00F53900">
        <w:rPr>
          <w:rFonts w:asciiTheme="majorHAnsi" w:hAnsiTheme="majorHAnsi"/>
          <w:sz w:val="24"/>
          <w:szCs w:val="24"/>
        </w:rPr>
        <w:t>)</w:t>
      </w:r>
    </w:p>
    <w:p w:rsidR="00F53900" w:rsidRDefault="00F53900" w:rsidP="009916F3">
      <w:pPr>
        <w:spacing w:after="0" w:line="240" w:lineRule="auto"/>
        <w:rPr>
          <w:rStyle w:val="Forte"/>
          <w:rFonts w:asciiTheme="majorHAnsi" w:hAnsiTheme="majorHAnsi"/>
          <w:color w:val="0D0D0D" w:themeColor="text1" w:themeTint="F2"/>
          <w:sz w:val="24"/>
          <w:szCs w:val="24"/>
        </w:rPr>
      </w:pPr>
    </w:p>
    <w:p w:rsidR="00F97FD6" w:rsidRPr="00F53900" w:rsidRDefault="00F97FD6" w:rsidP="009916F3">
      <w:pPr>
        <w:spacing w:after="0" w:line="240" w:lineRule="auto"/>
        <w:rPr>
          <w:rFonts w:asciiTheme="majorHAnsi" w:hAnsiTheme="majorHAnsi"/>
          <w:color w:val="0D0D0D" w:themeColor="text1" w:themeTint="F2"/>
          <w:sz w:val="24"/>
          <w:szCs w:val="24"/>
        </w:rPr>
      </w:pPr>
      <w:r w:rsidRPr="00F53900">
        <w:rPr>
          <w:rStyle w:val="Forte"/>
          <w:rFonts w:asciiTheme="majorHAnsi" w:hAnsiTheme="majorHAnsi"/>
          <w:color w:val="0D0D0D" w:themeColor="text1" w:themeTint="F2"/>
          <w:sz w:val="24"/>
          <w:szCs w:val="24"/>
        </w:rPr>
        <w:t xml:space="preserve">Quais atividades precisam ser cadastradas? Em que momento </w:t>
      </w:r>
      <w:proofErr w:type="gramStart"/>
      <w:r w:rsidRPr="00F53900">
        <w:rPr>
          <w:rStyle w:val="Forte"/>
          <w:rFonts w:asciiTheme="majorHAnsi" w:hAnsiTheme="majorHAnsi"/>
          <w:color w:val="0D0D0D" w:themeColor="text1" w:themeTint="F2"/>
          <w:sz w:val="24"/>
          <w:szCs w:val="24"/>
        </w:rPr>
        <w:t>devo</w:t>
      </w:r>
      <w:proofErr w:type="gramEnd"/>
      <w:r w:rsidRPr="00F53900">
        <w:rPr>
          <w:rStyle w:val="Forte"/>
          <w:rFonts w:asciiTheme="majorHAnsi" w:hAnsiTheme="majorHAnsi"/>
          <w:color w:val="0D0D0D" w:themeColor="text1" w:themeTint="F2"/>
          <w:sz w:val="24"/>
          <w:szCs w:val="24"/>
        </w:rPr>
        <w:t xml:space="preserve"> cadastrar as atividades?</w:t>
      </w:r>
    </w:p>
    <w:p w:rsidR="00F97FD6" w:rsidRPr="009916F3" w:rsidRDefault="00F97FD6" w:rsidP="009916F3">
      <w:pPr>
        <w:pStyle w:val="NormalWeb"/>
        <w:spacing w:before="0" w:beforeAutospacing="0" w:after="0" w:afterAutospacing="0"/>
        <w:rPr>
          <w:rFonts w:asciiTheme="majorHAnsi" w:hAnsiTheme="majorHAnsi"/>
          <w:color w:val="0D0D0D" w:themeColor="text1" w:themeTint="F2"/>
        </w:rPr>
      </w:pPr>
      <w:r w:rsidRPr="00F53900">
        <w:rPr>
          <w:rFonts w:asciiTheme="majorHAnsi" w:hAnsiTheme="majorHAnsi"/>
          <w:color w:val="0D0D0D" w:themeColor="text1" w:themeTint="F2"/>
        </w:rPr>
        <w:t>Conforme disposto</w:t>
      </w:r>
      <w:r w:rsidRPr="009916F3">
        <w:rPr>
          <w:rFonts w:asciiTheme="majorHAnsi" w:hAnsiTheme="majorHAnsi"/>
          <w:color w:val="0D0D0D" w:themeColor="text1" w:themeTint="F2"/>
        </w:rPr>
        <w:t xml:space="preserve"> no art. 12 da </w:t>
      </w:r>
      <w:r w:rsidR="008D42BB">
        <w:rPr>
          <w:rFonts w:asciiTheme="majorHAnsi" w:hAnsiTheme="majorHAnsi"/>
          <w:color w:val="0D0D0D" w:themeColor="text1" w:themeTint="F2"/>
        </w:rPr>
        <w:t>Lei nº 13.123/2015</w:t>
      </w:r>
      <w:r w:rsidRPr="009916F3">
        <w:rPr>
          <w:rFonts w:asciiTheme="majorHAnsi" w:hAnsiTheme="majorHAnsi"/>
          <w:color w:val="0D0D0D" w:themeColor="text1" w:themeTint="F2"/>
        </w:rPr>
        <w:t>:</w:t>
      </w:r>
    </w:p>
    <w:p w:rsidR="00F97FD6" w:rsidRPr="009916F3" w:rsidRDefault="00F97FD6" w:rsidP="009916F3">
      <w:pPr>
        <w:pStyle w:val="NormalWeb"/>
        <w:spacing w:before="0" w:beforeAutospacing="0" w:after="0" w:afterAutospacing="0"/>
        <w:rPr>
          <w:rFonts w:asciiTheme="majorHAnsi" w:hAnsiTheme="majorHAnsi"/>
          <w:color w:val="0D0D0D" w:themeColor="text1" w:themeTint="F2"/>
        </w:rPr>
      </w:pPr>
      <w:r w:rsidRPr="009916F3">
        <w:rPr>
          <w:rFonts w:asciiTheme="majorHAnsi" w:hAnsiTheme="majorHAnsi"/>
          <w:color w:val="0D0D0D" w:themeColor="text1" w:themeTint="F2"/>
        </w:rPr>
        <w:t>“Deverão ser cadastradas as seguintes atividades:</w:t>
      </w:r>
      <w:r w:rsidR="008D42BB">
        <w:rPr>
          <w:rFonts w:asciiTheme="majorHAnsi" w:hAnsiTheme="majorHAnsi"/>
          <w:color w:val="0D0D0D" w:themeColor="text1" w:themeTint="F2"/>
        </w:rPr>
        <w:t xml:space="preserve"> </w:t>
      </w:r>
    </w:p>
    <w:p w:rsidR="00F97FD6" w:rsidRPr="009916F3" w:rsidRDefault="00F97FD6" w:rsidP="009916F3">
      <w:pPr>
        <w:pStyle w:val="NormalWeb"/>
        <w:spacing w:before="0" w:beforeAutospacing="0" w:after="0" w:afterAutospacing="0"/>
        <w:rPr>
          <w:rFonts w:asciiTheme="majorHAnsi" w:hAnsiTheme="majorHAnsi"/>
          <w:color w:val="0D0D0D" w:themeColor="text1" w:themeTint="F2"/>
        </w:rPr>
      </w:pPr>
      <w:r w:rsidRPr="009916F3">
        <w:rPr>
          <w:rFonts w:asciiTheme="majorHAnsi" w:hAnsiTheme="majorHAnsi"/>
          <w:color w:val="0D0D0D" w:themeColor="text1" w:themeTint="F2"/>
        </w:rPr>
        <w:t>I – acesso ao patrimônio genético ou ao conhecimento tradicional associado dentro do País realizado por pessoa natural ou jurídica nacional, pública ou privada;</w:t>
      </w:r>
    </w:p>
    <w:p w:rsidR="00F97FD6" w:rsidRPr="009916F3" w:rsidRDefault="00F97FD6" w:rsidP="009916F3">
      <w:pPr>
        <w:pStyle w:val="NormalWeb"/>
        <w:spacing w:before="0" w:beforeAutospacing="0" w:after="0" w:afterAutospacing="0"/>
        <w:rPr>
          <w:rFonts w:asciiTheme="majorHAnsi" w:hAnsiTheme="majorHAnsi"/>
          <w:color w:val="0D0D0D" w:themeColor="text1" w:themeTint="F2"/>
        </w:rPr>
      </w:pPr>
      <w:r w:rsidRPr="009916F3">
        <w:rPr>
          <w:rFonts w:asciiTheme="majorHAnsi" w:hAnsiTheme="majorHAnsi"/>
          <w:color w:val="0D0D0D" w:themeColor="text1" w:themeTint="F2"/>
        </w:rPr>
        <w:t xml:space="preserve">II – acesso ao patrimônio genético ou conhecimento tradicional associado por pessoa jurídica sediada no exterior associada </w:t>
      </w:r>
      <w:proofErr w:type="gramStart"/>
      <w:r w:rsidRPr="009916F3">
        <w:rPr>
          <w:rFonts w:asciiTheme="majorHAnsi" w:hAnsiTheme="majorHAnsi"/>
          <w:color w:val="0D0D0D" w:themeColor="text1" w:themeTint="F2"/>
        </w:rPr>
        <w:t>a</w:t>
      </w:r>
      <w:proofErr w:type="gramEnd"/>
      <w:r w:rsidRPr="009916F3">
        <w:rPr>
          <w:rFonts w:asciiTheme="majorHAnsi" w:hAnsiTheme="majorHAnsi"/>
          <w:color w:val="0D0D0D" w:themeColor="text1" w:themeTint="F2"/>
        </w:rPr>
        <w:t xml:space="preserve"> instituição nacional de pesquisa científica e tecnológica, pública ou privada;</w:t>
      </w:r>
    </w:p>
    <w:p w:rsidR="00F97FD6" w:rsidRPr="009916F3" w:rsidRDefault="00F97FD6" w:rsidP="009916F3">
      <w:pPr>
        <w:pStyle w:val="NormalWeb"/>
        <w:spacing w:before="0" w:beforeAutospacing="0" w:after="0" w:afterAutospacing="0"/>
        <w:rPr>
          <w:rFonts w:asciiTheme="majorHAnsi" w:hAnsiTheme="majorHAnsi"/>
          <w:color w:val="0D0D0D" w:themeColor="text1" w:themeTint="F2"/>
        </w:rPr>
      </w:pPr>
      <w:r w:rsidRPr="009916F3">
        <w:rPr>
          <w:rFonts w:asciiTheme="majorHAnsi" w:hAnsiTheme="majorHAnsi"/>
          <w:color w:val="0D0D0D" w:themeColor="text1" w:themeTint="F2"/>
        </w:rPr>
        <w:t>III – acesso ao patrimônio genético ou ao conhecimento tradicional associado realizado no exterior por pessoa natural ou jurídica nacional, pública ou privada;</w:t>
      </w:r>
    </w:p>
    <w:p w:rsidR="00F97FD6" w:rsidRPr="009916F3" w:rsidRDefault="00F97FD6" w:rsidP="009916F3">
      <w:pPr>
        <w:pStyle w:val="NormalWeb"/>
        <w:spacing w:before="0" w:beforeAutospacing="0" w:after="0" w:afterAutospacing="0"/>
        <w:rPr>
          <w:rFonts w:asciiTheme="majorHAnsi" w:hAnsiTheme="majorHAnsi"/>
          <w:color w:val="0D0D0D" w:themeColor="text1" w:themeTint="F2"/>
        </w:rPr>
      </w:pPr>
      <w:r w:rsidRPr="009916F3">
        <w:rPr>
          <w:rFonts w:asciiTheme="majorHAnsi" w:hAnsiTheme="majorHAnsi"/>
          <w:color w:val="0D0D0D" w:themeColor="text1" w:themeTint="F2"/>
        </w:rPr>
        <w:t>IV – remessa de amostra de patrimônio genético para o exterior com a finalidade de acesso, nas hipóteses dos incisos II e III deste caput; e</w:t>
      </w:r>
    </w:p>
    <w:p w:rsidR="00F97FD6" w:rsidRPr="009916F3" w:rsidRDefault="00F97FD6" w:rsidP="009916F3">
      <w:pPr>
        <w:pStyle w:val="NormalWeb"/>
        <w:spacing w:before="0" w:beforeAutospacing="0" w:after="0" w:afterAutospacing="0"/>
        <w:rPr>
          <w:rFonts w:asciiTheme="majorHAnsi" w:hAnsiTheme="majorHAnsi"/>
          <w:color w:val="0D0D0D" w:themeColor="text1" w:themeTint="F2"/>
        </w:rPr>
      </w:pPr>
      <w:proofErr w:type="gramStart"/>
      <w:r w:rsidRPr="009916F3">
        <w:rPr>
          <w:rFonts w:asciiTheme="majorHAnsi" w:hAnsiTheme="majorHAnsi"/>
          <w:color w:val="0D0D0D" w:themeColor="text1" w:themeTint="F2"/>
        </w:rPr>
        <w:t>V – envio de amostra que contenha patrimônio genético por pessoa jurídica nacional, pública ou privada, para prestação de serviços no exterior como parte de pesquisa ou desenvolvimento tecnológico.”</w:t>
      </w:r>
      <w:proofErr w:type="gramEnd"/>
    </w:p>
    <w:p w:rsidR="00F97FD6" w:rsidRPr="009916F3" w:rsidRDefault="00F97FD6" w:rsidP="009916F3">
      <w:pPr>
        <w:pStyle w:val="NormalWeb"/>
        <w:spacing w:before="0" w:beforeAutospacing="0" w:after="0" w:afterAutospacing="0"/>
        <w:rPr>
          <w:rFonts w:asciiTheme="majorHAnsi" w:hAnsiTheme="majorHAnsi"/>
          <w:color w:val="0D0D0D" w:themeColor="text1" w:themeTint="F2"/>
        </w:rPr>
      </w:pPr>
      <w:r w:rsidRPr="009916F3">
        <w:rPr>
          <w:rFonts w:asciiTheme="majorHAnsi" w:hAnsiTheme="majorHAnsi"/>
          <w:color w:val="0D0D0D" w:themeColor="text1" w:themeTint="F2"/>
        </w:rPr>
        <w:t xml:space="preserve">Conforme disposto no § 2º do art. 12 da </w:t>
      </w:r>
      <w:r w:rsidR="008D42BB">
        <w:rPr>
          <w:rFonts w:asciiTheme="majorHAnsi" w:hAnsiTheme="majorHAnsi"/>
          <w:color w:val="0D0D0D" w:themeColor="text1" w:themeTint="F2"/>
        </w:rPr>
        <w:t>Lei nº 13.123/2015</w:t>
      </w:r>
      <w:r w:rsidRPr="009916F3">
        <w:rPr>
          <w:rFonts w:asciiTheme="majorHAnsi" w:hAnsiTheme="majorHAnsi"/>
          <w:color w:val="0D0D0D" w:themeColor="text1" w:themeTint="F2"/>
        </w:rPr>
        <w:t>, “o cadastramento deverá ser realizado previamente à remessa, ou ao requerimento de qualquer direito de propriedade intelectual, ou à comercialização do produto intermediário, ou à divulgação dos resultados, finais ou parciais, em meios científicos ou de comunicação, ou à notificação de produto acabado ou material reprodutivo desenvolvido em decorrência do acesso”.</w:t>
      </w:r>
    </w:p>
    <w:p w:rsidR="00F97FD6" w:rsidRPr="008D42BB" w:rsidRDefault="00F97FD6" w:rsidP="009916F3">
      <w:pPr>
        <w:pStyle w:val="NormalWeb"/>
        <w:spacing w:before="0" w:beforeAutospacing="0" w:after="0" w:afterAutospacing="0"/>
        <w:rPr>
          <w:rFonts w:asciiTheme="majorHAnsi" w:hAnsiTheme="majorHAnsi"/>
          <w:color w:val="0D0D0D" w:themeColor="text1" w:themeTint="F2"/>
        </w:rPr>
      </w:pPr>
      <w:r w:rsidRPr="009916F3">
        <w:rPr>
          <w:rFonts w:asciiTheme="majorHAnsi" w:hAnsiTheme="majorHAnsi"/>
          <w:color w:val="0D0D0D" w:themeColor="text1" w:themeTint="F2"/>
        </w:rPr>
        <w:t xml:space="preserve">Portanto, as atividades de acesso podem ser iniciadas antes do cadastro, que somente é </w:t>
      </w:r>
      <w:r w:rsidRPr="008D42BB">
        <w:rPr>
          <w:rFonts w:asciiTheme="majorHAnsi" w:hAnsiTheme="majorHAnsi"/>
          <w:color w:val="0D0D0D" w:themeColor="text1" w:themeTint="F2"/>
        </w:rPr>
        <w:t xml:space="preserve">exigido previamente aos momentos definidos no § 2º do art. 12 da </w:t>
      </w:r>
      <w:r w:rsidR="008D42BB" w:rsidRPr="008D42BB">
        <w:rPr>
          <w:rFonts w:asciiTheme="majorHAnsi" w:hAnsiTheme="majorHAnsi"/>
          <w:color w:val="0D0D0D" w:themeColor="text1" w:themeTint="F2"/>
        </w:rPr>
        <w:t>Lei nº 13.123/2015</w:t>
      </w:r>
      <w:r w:rsidRPr="008D42BB">
        <w:rPr>
          <w:rFonts w:asciiTheme="majorHAnsi" w:hAnsiTheme="majorHAnsi"/>
          <w:color w:val="0D0D0D" w:themeColor="text1" w:themeTint="F2"/>
        </w:rPr>
        <w:t>.</w:t>
      </w:r>
    </w:p>
    <w:p w:rsidR="008D42BB" w:rsidRPr="008D42BB" w:rsidRDefault="008D42BB" w:rsidP="009916F3">
      <w:pPr>
        <w:pStyle w:val="NormalWeb"/>
        <w:spacing w:before="0" w:beforeAutospacing="0" w:after="0" w:afterAutospacing="0"/>
        <w:rPr>
          <w:rFonts w:asciiTheme="majorHAnsi" w:hAnsiTheme="majorHAnsi"/>
          <w:color w:val="0D0D0D" w:themeColor="text1" w:themeTint="F2"/>
        </w:rPr>
      </w:pPr>
    </w:p>
    <w:p w:rsidR="008D42BB" w:rsidRPr="008D42BB" w:rsidRDefault="008D42BB" w:rsidP="009916F3">
      <w:pPr>
        <w:pStyle w:val="NormalWeb"/>
        <w:spacing w:before="0" w:beforeAutospacing="0" w:after="0" w:afterAutospacing="0"/>
        <w:rPr>
          <w:rFonts w:asciiTheme="majorHAnsi" w:hAnsiTheme="majorHAnsi"/>
          <w:color w:val="0D0D0D" w:themeColor="text1" w:themeTint="F2"/>
        </w:rPr>
      </w:pPr>
      <w:r w:rsidRPr="008D42BB">
        <w:rPr>
          <w:rFonts w:asciiTheme="majorHAnsi" w:hAnsiTheme="majorHAnsi"/>
          <w:color w:val="0D0D0D" w:themeColor="text1" w:themeTint="F2"/>
        </w:rPr>
        <w:t xml:space="preserve">Na UFSM: </w:t>
      </w:r>
      <w:r w:rsidRPr="008D42BB">
        <w:rPr>
          <w:rFonts w:asciiTheme="majorHAnsi" w:hAnsiTheme="majorHAnsi" w:cs="Arial"/>
          <w:color w:val="000000"/>
          <w:shd w:val="clear" w:color="auto" w:fill="FFFFFF"/>
        </w:rPr>
        <w:t>para </w:t>
      </w:r>
      <w:r w:rsidRPr="008D42BB">
        <w:rPr>
          <w:rStyle w:val="Forte"/>
          <w:rFonts w:asciiTheme="majorHAnsi" w:hAnsiTheme="majorHAnsi" w:cs="Arial"/>
          <w:b w:val="0"/>
          <w:color w:val="000000"/>
          <w:shd w:val="clear" w:color="auto" w:fill="FFFFFF"/>
        </w:rPr>
        <w:t>tramitar projeto, que envolve PG ou CTA, no Portal de Projetos</w:t>
      </w:r>
      <w:r w:rsidRPr="008D42BB">
        <w:rPr>
          <w:rFonts w:asciiTheme="majorHAnsi" w:hAnsiTheme="majorHAnsi" w:cs="Arial"/>
          <w:color w:val="000000"/>
          <w:shd w:val="clear" w:color="auto" w:fill="FFFFFF"/>
        </w:rPr>
        <w:t xml:space="preserve"> da UFSM será exigido a apresentação do comprovante de cadastramento da pesquisa no </w:t>
      </w:r>
      <w:proofErr w:type="gramStart"/>
      <w:r w:rsidRPr="008D42BB">
        <w:rPr>
          <w:rFonts w:asciiTheme="majorHAnsi" w:hAnsiTheme="majorHAnsi" w:cs="Arial"/>
          <w:color w:val="000000"/>
          <w:shd w:val="clear" w:color="auto" w:fill="FFFFFF"/>
        </w:rPr>
        <w:t>SisGen</w:t>
      </w:r>
      <w:proofErr w:type="gramEnd"/>
      <w:r w:rsidRPr="008D42BB">
        <w:rPr>
          <w:rFonts w:asciiTheme="majorHAnsi" w:hAnsiTheme="majorHAnsi" w:cs="Arial"/>
          <w:color w:val="000000"/>
          <w:shd w:val="clear" w:color="auto" w:fill="FFFFFF"/>
        </w:rPr>
        <w:t>; </w:t>
      </w:r>
      <w:r w:rsidRPr="008D42BB">
        <w:rPr>
          <w:rStyle w:val="Forte"/>
          <w:rFonts w:asciiTheme="majorHAnsi" w:hAnsiTheme="majorHAnsi" w:cs="Arial"/>
          <w:b w:val="0"/>
          <w:color w:val="000000"/>
          <w:shd w:val="clear" w:color="auto" w:fill="FFFFFF"/>
        </w:rPr>
        <w:t>ou</w:t>
      </w:r>
      <w:r w:rsidRPr="008D42BB">
        <w:rPr>
          <w:rFonts w:asciiTheme="majorHAnsi" w:hAnsiTheme="majorHAnsi" w:cs="Arial"/>
          <w:color w:val="000000"/>
          <w:shd w:val="clear" w:color="auto" w:fill="FFFFFF"/>
        </w:rPr>
        <w:t>, para os casos que, por exemplo, não é possível se determinar a espécie antes que a coleta realmente seja realizada, será solicitada a apresentação de declaração de comprometimento com o cadastro da pesquisa no SisGen.</w:t>
      </w:r>
    </w:p>
    <w:p w:rsidR="00F97FD6" w:rsidRPr="008D42BB" w:rsidRDefault="00F97FD6" w:rsidP="009916F3">
      <w:pPr>
        <w:pStyle w:val="NormalWeb"/>
        <w:spacing w:before="0" w:beforeAutospacing="0" w:after="0" w:afterAutospacing="0"/>
        <w:rPr>
          <w:rFonts w:asciiTheme="majorHAnsi" w:hAnsiTheme="majorHAnsi"/>
          <w:color w:val="0D0D0D" w:themeColor="text1" w:themeTint="F2"/>
        </w:rPr>
      </w:pPr>
      <w:r w:rsidRPr="008D42BB">
        <w:rPr>
          <w:rFonts w:asciiTheme="majorHAnsi" w:hAnsiTheme="majorHAnsi"/>
          <w:color w:val="0D0D0D" w:themeColor="text1" w:themeTint="F2"/>
        </w:rPr>
        <w:t> </w:t>
      </w:r>
    </w:p>
    <w:p w:rsidR="00F97FD6" w:rsidRPr="008D42BB" w:rsidRDefault="00F97FD6" w:rsidP="009916F3">
      <w:pPr>
        <w:spacing w:after="0" w:line="240" w:lineRule="auto"/>
        <w:rPr>
          <w:rFonts w:asciiTheme="majorHAnsi" w:hAnsiTheme="majorHAnsi"/>
          <w:color w:val="0D0D0D" w:themeColor="text1" w:themeTint="F2"/>
          <w:sz w:val="24"/>
          <w:szCs w:val="24"/>
        </w:rPr>
      </w:pPr>
      <w:r w:rsidRPr="008D42BB">
        <w:rPr>
          <w:rStyle w:val="Forte"/>
          <w:rFonts w:asciiTheme="majorHAnsi" w:hAnsiTheme="majorHAnsi"/>
          <w:color w:val="0D0D0D" w:themeColor="text1" w:themeTint="F2"/>
          <w:sz w:val="24"/>
          <w:szCs w:val="24"/>
        </w:rPr>
        <w:t>Preciso cadastrar pesquisa com patrimônio genético?</w:t>
      </w:r>
    </w:p>
    <w:p w:rsidR="00F97FD6" w:rsidRPr="009916F3" w:rsidRDefault="00F97FD6" w:rsidP="009916F3">
      <w:pPr>
        <w:pStyle w:val="NormalWeb"/>
        <w:spacing w:before="0" w:beforeAutospacing="0" w:after="0" w:afterAutospacing="0"/>
        <w:rPr>
          <w:rFonts w:asciiTheme="majorHAnsi" w:hAnsiTheme="majorHAnsi"/>
          <w:color w:val="0D0D0D" w:themeColor="text1" w:themeTint="F2"/>
        </w:rPr>
      </w:pPr>
      <w:r w:rsidRPr="008D42BB">
        <w:rPr>
          <w:rFonts w:asciiTheme="majorHAnsi" w:hAnsiTheme="majorHAnsi"/>
          <w:color w:val="0D0D0D" w:themeColor="text1" w:themeTint="F2"/>
        </w:rPr>
        <w:t>Para determinar a necessidade de cadastrar</w:t>
      </w:r>
      <w:r w:rsidRPr="009916F3">
        <w:rPr>
          <w:rFonts w:asciiTheme="majorHAnsi" w:hAnsiTheme="majorHAnsi"/>
          <w:color w:val="0D0D0D" w:themeColor="text1" w:themeTint="F2"/>
        </w:rPr>
        <w:t xml:space="preserve"> sua pesquisa, é necessário verificar o enquadramento de suas atividades nos conceitos de acesso da Lei.</w:t>
      </w:r>
      <w:r w:rsidR="008D42BB">
        <w:rPr>
          <w:rFonts w:asciiTheme="majorHAnsi" w:hAnsiTheme="majorHAnsi"/>
          <w:color w:val="0D0D0D" w:themeColor="text1" w:themeTint="F2"/>
        </w:rPr>
        <w:t xml:space="preserve"> </w:t>
      </w:r>
      <w:r w:rsidRPr="009916F3">
        <w:rPr>
          <w:rFonts w:asciiTheme="majorHAnsi" w:hAnsiTheme="majorHAnsi"/>
          <w:color w:val="0D0D0D" w:themeColor="text1" w:themeTint="F2"/>
        </w:rPr>
        <w:t>Portanto, verifique se a atividade realizada enquadra-se nas seguintes definições, contidas nos incisos VIII, X, e XI do art. 2º da </w:t>
      </w:r>
      <w:r w:rsidR="008D42BB">
        <w:rPr>
          <w:rFonts w:asciiTheme="majorHAnsi" w:hAnsiTheme="majorHAnsi"/>
          <w:color w:val="0D0D0D" w:themeColor="text1" w:themeTint="F2"/>
        </w:rPr>
        <w:t>Lei nº 13.123/2015</w:t>
      </w:r>
      <w:r w:rsidRPr="009916F3">
        <w:rPr>
          <w:rFonts w:asciiTheme="majorHAnsi" w:hAnsiTheme="majorHAnsi"/>
          <w:color w:val="0D0D0D" w:themeColor="text1" w:themeTint="F2"/>
        </w:rPr>
        <w:t>, respectivamente:</w:t>
      </w:r>
    </w:p>
    <w:p w:rsidR="00F97FD6" w:rsidRPr="009916F3" w:rsidRDefault="00F97FD6" w:rsidP="009916F3">
      <w:pPr>
        <w:pStyle w:val="NormalWeb"/>
        <w:spacing w:before="0" w:beforeAutospacing="0" w:after="0" w:afterAutospacing="0"/>
        <w:rPr>
          <w:rFonts w:asciiTheme="majorHAnsi" w:hAnsiTheme="majorHAnsi"/>
          <w:color w:val="0D0D0D" w:themeColor="text1" w:themeTint="F2"/>
        </w:rPr>
      </w:pPr>
      <w:r w:rsidRPr="009916F3">
        <w:rPr>
          <w:rFonts w:asciiTheme="majorHAnsi" w:hAnsiTheme="majorHAnsi"/>
          <w:color w:val="0D0D0D" w:themeColor="text1" w:themeTint="F2"/>
        </w:rPr>
        <w:t>“</w:t>
      </w:r>
      <w:r w:rsidRPr="009916F3">
        <w:rPr>
          <w:rStyle w:val="nfase"/>
          <w:rFonts w:asciiTheme="majorHAnsi" w:hAnsiTheme="majorHAnsi"/>
          <w:i w:val="0"/>
          <w:color w:val="0D0D0D" w:themeColor="text1" w:themeTint="F2"/>
        </w:rPr>
        <w:t>VIII – acesso ao patrimônio genético – pesquisa ou desenvolvimento tecnológico realizado sobre amostra de patrimônio genético;</w:t>
      </w:r>
    </w:p>
    <w:p w:rsidR="00F97FD6" w:rsidRPr="009916F3" w:rsidRDefault="00F97FD6" w:rsidP="009916F3">
      <w:pPr>
        <w:pStyle w:val="NormalWeb"/>
        <w:spacing w:before="0" w:beforeAutospacing="0" w:after="0" w:afterAutospacing="0"/>
        <w:rPr>
          <w:rFonts w:asciiTheme="majorHAnsi" w:hAnsiTheme="majorHAnsi"/>
          <w:color w:val="0D0D0D" w:themeColor="text1" w:themeTint="F2"/>
        </w:rPr>
      </w:pPr>
      <w:r w:rsidRPr="009916F3">
        <w:rPr>
          <w:rStyle w:val="nfase"/>
          <w:rFonts w:asciiTheme="majorHAnsi" w:hAnsiTheme="majorHAnsi"/>
          <w:i w:val="0"/>
          <w:color w:val="0D0D0D" w:themeColor="text1" w:themeTint="F2"/>
        </w:rPr>
        <w:t xml:space="preserve"> X – pesquisa – atividade, experimental ou teórica, realizada sobre o patrimônio genético ou conhecimento tradicional associado, com o objetivo de produzir novos conhecimentos, por </w:t>
      </w:r>
      <w:r w:rsidRPr="009916F3">
        <w:rPr>
          <w:rStyle w:val="nfase"/>
          <w:rFonts w:asciiTheme="majorHAnsi" w:hAnsiTheme="majorHAnsi"/>
          <w:i w:val="0"/>
          <w:color w:val="0D0D0D" w:themeColor="text1" w:themeTint="F2"/>
        </w:rPr>
        <w:lastRenderedPageBreak/>
        <w:t>meio de um processo sistemático de construção do conhecimento que gera e testa hipóteses e teorias, descreve e interpreta os fundamentos de fenômenos e fatos observáveis;</w:t>
      </w:r>
    </w:p>
    <w:p w:rsidR="00F97FD6" w:rsidRPr="009916F3" w:rsidRDefault="00F97FD6" w:rsidP="009916F3">
      <w:pPr>
        <w:pStyle w:val="NormalWeb"/>
        <w:spacing w:before="0" w:beforeAutospacing="0" w:after="0" w:afterAutospacing="0"/>
        <w:rPr>
          <w:rFonts w:asciiTheme="majorHAnsi" w:hAnsiTheme="majorHAnsi"/>
          <w:color w:val="0D0D0D" w:themeColor="text1" w:themeTint="F2"/>
        </w:rPr>
      </w:pPr>
      <w:proofErr w:type="gramStart"/>
      <w:r w:rsidRPr="009916F3">
        <w:rPr>
          <w:rStyle w:val="nfase"/>
          <w:rFonts w:asciiTheme="majorHAnsi" w:hAnsiTheme="majorHAnsi"/>
          <w:i w:val="0"/>
          <w:color w:val="0D0D0D" w:themeColor="text1" w:themeTint="F2"/>
        </w:rPr>
        <w:t>XI – desenvolvimento tecnológico – trabalho sistemático sobre o patrimônio genético ou sobre o conhecimento tradicional associado, baseado nos procedimentos existentes, obtidos pela pesquisa ou pela experiência prática, realizado com o objetivo de desenvolver novos materiais, produtos ou dispositivos, aperfeiçoar ou desenvolver novos processos para exploração econômica</w:t>
      </w:r>
      <w:r w:rsidRPr="009916F3">
        <w:rPr>
          <w:rFonts w:asciiTheme="majorHAnsi" w:hAnsiTheme="majorHAnsi"/>
          <w:color w:val="0D0D0D" w:themeColor="text1" w:themeTint="F2"/>
        </w:rPr>
        <w:t>”</w:t>
      </w:r>
      <w:proofErr w:type="gramEnd"/>
      <w:r w:rsidRPr="009916F3">
        <w:rPr>
          <w:rFonts w:asciiTheme="majorHAnsi" w:hAnsiTheme="majorHAnsi"/>
          <w:color w:val="0D0D0D" w:themeColor="text1" w:themeTint="F2"/>
        </w:rPr>
        <w:t>.</w:t>
      </w:r>
    </w:p>
    <w:p w:rsidR="00F97FD6" w:rsidRPr="009916F3" w:rsidRDefault="00F97FD6" w:rsidP="009916F3">
      <w:pPr>
        <w:pStyle w:val="NormalWeb"/>
        <w:spacing w:before="0" w:beforeAutospacing="0" w:after="0" w:afterAutospacing="0"/>
        <w:rPr>
          <w:rFonts w:asciiTheme="majorHAnsi" w:hAnsiTheme="majorHAnsi"/>
          <w:color w:val="0D0D0D" w:themeColor="text1" w:themeTint="F2"/>
        </w:rPr>
      </w:pPr>
      <w:r w:rsidRPr="009916F3">
        <w:rPr>
          <w:rFonts w:asciiTheme="majorHAnsi" w:hAnsiTheme="majorHAnsi"/>
          <w:color w:val="0D0D0D" w:themeColor="text1" w:themeTint="F2"/>
        </w:rPr>
        <w:t xml:space="preserve">Caso as atividades se enquadrem nos conceitos apresentados, bem como as espécies objeto da pesquisa se enquadrem como PG nacional, isto é, pertençam à biodiversidade brasileira, será necessário o cadastro no </w:t>
      </w:r>
      <w:proofErr w:type="gramStart"/>
      <w:r w:rsidRPr="009916F3">
        <w:rPr>
          <w:rFonts w:asciiTheme="majorHAnsi" w:hAnsiTheme="majorHAnsi"/>
          <w:color w:val="0D0D0D" w:themeColor="text1" w:themeTint="F2"/>
        </w:rPr>
        <w:t>SisGen</w:t>
      </w:r>
      <w:proofErr w:type="gramEnd"/>
      <w:r w:rsidRPr="009916F3">
        <w:rPr>
          <w:rFonts w:asciiTheme="majorHAnsi" w:hAnsiTheme="majorHAnsi"/>
          <w:color w:val="0D0D0D" w:themeColor="text1" w:themeTint="F2"/>
        </w:rPr>
        <w:t xml:space="preserve">, conforme exigido pela </w:t>
      </w:r>
      <w:r w:rsidR="008D42BB">
        <w:rPr>
          <w:rFonts w:asciiTheme="majorHAnsi" w:hAnsiTheme="majorHAnsi"/>
          <w:color w:val="0D0D0D" w:themeColor="text1" w:themeTint="F2"/>
        </w:rPr>
        <w:t>Lei nº 13.123/2015</w:t>
      </w:r>
      <w:r w:rsidRPr="009916F3">
        <w:rPr>
          <w:rFonts w:asciiTheme="majorHAnsi" w:hAnsiTheme="majorHAnsi"/>
          <w:color w:val="0D0D0D" w:themeColor="text1" w:themeTint="F2"/>
        </w:rPr>
        <w:t>.</w:t>
      </w:r>
    </w:p>
    <w:p w:rsidR="00F97FD6" w:rsidRPr="009916F3" w:rsidRDefault="00F97FD6" w:rsidP="009916F3">
      <w:pPr>
        <w:pStyle w:val="NormalWeb"/>
        <w:spacing w:before="0" w:beforeAutospacing="0" w:after="0" w:afterAutospacing="0"/>
        <w:rPr>
          <w:rFonts w:asciiTheme="majorHAnsi" w:hAnsiTheme="majorHAnsi"/>
          <w:color w:val="0D0D0D" w:themeColor="text1" w:themeTint="F2"/>
        </w:rPr>
      </w:pPr>
      <w:r w:rsidRPr="009916F3">
        <w:rPr>
          <w:rFonts w:asciiTheme="majorHAnsi" w:hAnsiTheme="majorHAnsi"/>
          <w:color w:val="0D0D0D" w:themeColor="text1" w:themeTint="F2"/>
        </w:rPr>
        <w:t xml:space="preserve">Caso as atividades não se enquadrem nos conceitos apresentados, ou as espécies objeto da pesquisa não se enquadrem como </w:t>
      </w:r>
      <w:r w:rsidR="008D42BB">
        <w:rPr>
          <w:rFonts w:asciiTheme="majorHAnsi" w:hAnsiTheme="majorHAnsi"/>
          <w:color w:val="0D0D0D" w:themeColor="text1" w:themeTint="F2"/>
        </w:rPr>
        <w:t>PG</w:t>
      </w:r>
      <w:r w:rsidRPr="009916F3">
        <w:rPr>
          <w:rFonts w:asciiTheme="majorHAnsi" w:hAnsiTheme="majorHAnsi"/>
          <w:color w:val="0D0D0D" w:themeColor="text1" w:themeTint="F2"/>
        </w:rPr>
        <w:t xml:space="preserve"> nacional, isto é, sejam espécies exóticas que não tenham adquirido qualquer característica distintiva própria no território nacional, não será considerada matéria regulada pela </w:t>
      </w:r>
      <w:r w:rsidR="008D42BB">
        <w:rPr>
          <w:rFonts w:asciiTheme="majorHAnsi" w:hAnsiTheme="majorHAnsi"/>
          <w:color w:val="0D0D0D" w:themeColor="text1" w:themeTint="F2"/>
        </w:rPr>
        <w:t>Lei nº 13.123/2015</w:t>
      </w:r>
      <w:r w:rsidRPr="009916F3">
        <w:rPr>
          <w:rFonts w:asciiTheme="majorHAnsi" w:hAnsiTheme="majorHAnsi"/>
          <w:color w:val="0D0D0D" w:themeColor="text1" w:themeTint="F2"/>
        </w:rPr>
        <w:t>.</w:t>
      </w:r>
    </w:p>
    <w:p w:rsidR="00F97FD6" w:rsidRPr="009916F3" w:rsidRDefault="00F97FD6" w:rsidP="009916F3">
      <w:pPr>
        <w:pStyle w:val="NormalWeb"/>
        <w:spacing w:before="0" w:beforeAutospacing="0" w:after="0" w:afterAutospacing="0"/>
        <w:rPr>
          <w:rFonts w:asciiTheme="majorHAnsi" w:hAnsiTheme="majorHAnsi"/>
          <w:color w:val="0D0D0D" w:themeColor="text1" w:themeTint="F2"/>
        </w:rPr>
      </w:pPr>
      <w:r w:rsidRPr="009916F3">
        <w:rPr>
          <w:rFonts w:asciiTheme="majorHAnsi" w:hAnsiTheme="majorHAnsi"/>
          <w:color w:val="0D0D0D" w:themeColor="text1" w:themeTint="F2"/>
        </w:rPr>
        <w:t> </w:t>
      </w:r>
    </w:p>
    <w:p w:rsidR="00F97FD6" w:rsidRPr="009916F3" w:rsidRDefault="00F97FD6" w:rsidP="009916F3">
      <w:pPr>
        <w:spacing w:after="0" w:line="240" w:lineRule="auto"/>
        <w:rPr>
          <w:rFonts w:asciiTheme="majorHAnsi" w:hAnsiTheme="majorHAnsi"/>
          <w:color w:val="0D0D0D" w:themeColor="text1" w:themeTint="F2"/>
          <w:sz w:val="24"/>
          <w:szCs w:val="24"/>
        </w:rPr>
      </w:pPr>
      <w:r w:rsidRPr="009916F3">
        <w:rPr>
          <w:rStyle w:val="Forte"/>
          <w:rFonts w:asciiTheme="majorHAnsi" w:hAnsiTheme="majorHAnsi"/>
          <w:color w:val="0D0D0D" w:themeColor="text1" w:themeTint="F2"/>
          <w:sz w:val="24"/>
          <w:szCs w:val="24"/>
        </w:rPr>
        <w:t>Preciso cadastrar pesquisa com conhecimento tradicional associado (CTA)?</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t>Para determinar a necessidade de cadastrar sua pesquisa, é necessário verificar o enquadramento de suas atividades nos conceitos de acesso da Lei.</w:t>
      </w:r>
      <w:r w:rsidR="008D42BB">
        <w:rPr>
          <w:rFonts w:asciiTheme="majorHAnsi" w:hAnsiTheme="majorHAnsi" w:cs="Arial"/>
          <w:color w:val="0D0D0D" w:themeColor="text1" w:themeTint="F2"/>
        </w:rPr>
        <w:t xml:space="preserve"> </w:t>
      </w:r>
      <w:r w:rsidRPr="009916F3">
        <w:rPr>
          <w:rFonts w:asciiTheme="majorHAnsi" w:hAnsiTheme="majorHAnsi" w:cs="Arial"/>
          <w:color w:val="0D0D0D" w:themeColor="text1" w:themeTint="F2"/>
        </w:rPr>
        <w:t>Portanto, verifique se a atividade realizada enquadra-se nas seguintes definições, contidas nos incisos IX, X, e XI do art. 2º da </w:t>
      </w:r>
      <w:r w:rsidR="008D42BB">
        <w:rPr>
          <w:rFonts w:asciiTheme="majorHAnsi" w:hAnsiTheme="majorHAnsi" w:cs="Arial"/>
          <w:color w:val="0D0D0D" w:themeColor="text1" w:themeTint="F2"/>
        </w:rPr>
        <w:t>Lei nº 13.123/2015</w:t>
      </w:r>
      <w:r w:rsidRPr="009916F3">
        <w:rPr>
          <w:rFonts w:asciiTheme="majorHAnsi" w:hAnsiTheme="majorHAnsi" w:cs="Arial"/>
          <w:color w:val="0D0D0D" w:themeColor="text1" w:themeTint="F2"/>
        </w:rPr>
        <w:t>, respectivamente:</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t>“</w:t>
      </w:r>
      <w:r w:rsidRPr="009916F3">
        <w:rPr>
          <w:rStyle w:val="nfase"/>
          <w:rFonts w:asciiTheme="majorHAnsi" w:hAnsiTheme="majorHAnsi" w:cs="Arial"/>
          <w:i w:val="0"/>
          <w:color w:val="0D0D0D" w:themeColor="text1" w:themeTint="F2"/>
        </w:rPr>
        <w:t>IX – acesso ao conhecimento tradicional associado – pesquisa ou desenvolvimento tecnológico realizado sobre conhecimento tradicional associado que possibilite ou facilite o acesso ao patrimônio genético, ainda que obtido de fontes secundárias tais como feiras, publicações, inventários, filmes, artigos científicos, cadastros e outras formas de sistematização e registro de conhecimentos tradicionais associados;</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Style w:val="nfase"/>
          <w:rFonts w:asciiTheme="majorHAnsi" w:hAnsiTheme="majorHAnsi" w:cs="Arial"/>
          <w:i w:val="0"/>
          <w:color w:val="0D0D0D" w:themeColor="text1" w:themeTint="F2"/>
        </w:rPr>
        <w:t>X – pesquisa – atividade, experimental ou teórica, realizada sobre o patrimônio genético ou conhecimento tradicional associado, com o objetivo de produzir novos conhecimentos, por meio de um processo sistemático de construção do conhecimento que gera e testa hipóteses e teorias, descreve e interpreta os fundamentos de fenômenos e fatos observáveis;</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proofErr w:type="gramStart"/>
      <w:r w:rsidRPr="009916F3">
        <w:rPr>
          <w:rStyle w:val="nfase"/>
          <w:rFonts w:asciiTheme="majorHAnsi" w:hAnsiTheme="majorHAnsi" w:cs="Arial"/>
          <w:i w:val="0"/>
          <w:color w:val="0D0D0D" w:themeColor="text1" w:themeTint="F2"/>
        </w:rPr>
        <w:t>XI – desenvolvimento tecnológico – trabalho sistemático sobre o patrimônio genético ou sobre o conhecimento tradicional associado, baseado nos procedimentos existentes, obtidos pela pesquisa ou pela experiência prática, realizado com o objetivo de desenvolver novos materiais, produtos ou dispositivos, aperfeiçoar ou desenvolver novos processos para exploração econômica</w:t>
      </w:r>
      <w:r w:rsidRPr="009916F3">
        <w:rPr>
          <w:rFonts w:asciiTheme="majorHAnsi" w:hAnsiTheme="majorHAnsi" w:cs="Arial"/>
          <w:color w:val="0D0D0D" w:themeColor="text1" w:themeTint="F2"/>
        </w:rPr>
        <w:t>”</w:t>
      </w:r>
      <w:proofErr w:type="gramEnd"/>
      <w:r w:rsidRPr="009916F3">
        <w:rPr>
          <w:rFonts w:asciiTheme="majorHAnsi" w:hAnsiTheme="majorHAnsi" w:cs="Arial"/>
          <w:color w:val="0D0D0D" w:themeColor="text1" w:themeTint="F2"/>
        </w:rPr>
        <w:t>.</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t xml:space="preserve">Caso as atividades se enquadrem nos conceitos apresentados, será necessário o cadastro no </w:t>
      </w:r>
      <w:proofErr w:type="gramStart"/>
      <w:r w:rsidRPr="009916F3">
        <w:rPr>
          <w:rFonts w:asciiTheme="majorHAnsi" w:hAnsiTheme="majorHAnsi" w:cs="Arial"/>
          <w:color w:val="0D0D0D" w:themeColor="text1" w:themeTint="F2"/>
        </w:rPr>
        <w:t>SisGen</w:t>
      </w:r>
      <w:proofErr w:type="gramEnd"/>
      <w:r w:rsidRPr="009916F3">
        <w:rPr>
          <w:rFonts w:asciiTheme="majorHAnsi" w:hAnsiTheme="majorHAnsi" w:cs="Arial"/>
          <w:color w:val="0D0D0D" w:themeColor="text1" w:themeTint="F2"/>
        </w:rPr>
        <w:t xml:space="preserve">, conforme exigido pela </w:t>
      </w:r>
      <w:r w:rsidR="008D42BB">
        <w:rPr>
          <w:rFonts w:asciiTheme="majorHAnsi" w:hAnsiTheme="majorHAnsi" w:cs="Arial"/>
          <w:color w:val="0D0D0D" w:themeColor="text1" w:themeTint="F2"/>
        </w:rPr>
        <w:t>Lei nº 13.123/2015</w:t>
      </w:r>
      <w:r w:rsidRPr="009916F3">
        <w:rPr>
          <w:rFonts w:asciiTheme="majorHAnsi" w:hAnsiTheme="majorHAnsi" w:cs="Arial"/>
          <w:color w:val="0D0D0D" w:themeColor="text1" w:themeTint="F2"/>
        </w:rPr>
        <w:t>.</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t xml:space="preserve">Caso as atividades não se enquadrem nos conceitos apresentados, não será considerada matéria regulada pela </w:t>
      </w:r>
      <w:r w:rsidR="008D42BB">
        <w:rPr>
          <w:rFonts w:asciiTheme="majorHAnsi" w:hAnsiTheme="majorHAnsi" w:cs="Arial"/>
          <w:color w:val="0D0D0D" w:themeColor="text1" w:themeTint="F2"/>
        </w:rPr>
        <w:t>Lei nº 13.123/2015</w:t>
      </w:r>
      <w:r w:rsidRPr="009916F3">
        <w:rPr>
          <w:rFonts w:asciiTheme="majorHAnsi" w:hAnsiTheme="majorHAnsi" w:cs="Arial"/>
          <w:color w:val="0D0D0D" w:themeColor="text1" w:themeTint="F2"/>
        </w:rPr>
        <w:t>.</w:t>
      </w:r>
    </w:p>
    <w:p w:rsidR="00F97FD6" w:rsidRPr="009916F3" w:rsidRDefault="00F97FD6" w:rsidP="009916F3">
      <w:pPr>
        <w:shd w:val="clear" w:color="auto" w:fill="FFFFFF"/>
        <w:spacing w:after="0" w:line="240" w:lineRule="auto"/>
        <w:rPr>
          <w:rStyle w:val="Forte"/>
          <w:rFonts w:asciiTheme="majorHAnsi" w:hAnsiTheme="majorHAnsi" w:cs="Arial"/>
          <w:color w:val="0D0D0D" w:themeColor="text1" w:themeTint="F2"/>
          <w:sz w:val="24"/>
          <w:szCs w:val="24"/>
          <w:shd w:val="clear" w:color="auto" w:fill="FFFFFF"/>
        </w:rPr>
      </w:pPr>
    </w:p>
    <w:p w:rsidR="00BC5A65" w:rsidRPr="009916F3" w:rsidRDefault="00BC5A65" w:rsidP="009916F3">
      <w:pPr>
        <w:shd w:val="clear" w:color="auto" w:fill="FFFFFF"/>
        <w:spacing w:after="0" w:line="240" w:lineRule="auto"/>
        <w:rPr>
          <w:rFonts w:asciiTheme="majorHAnsi" w:eastAsia="Times New Roman" w:hAnsiTheme="majorHAnsi" w:cs="Arial"/>
          <w:color w:val="0D0D0D" w:themeColor="text1" w:themeTint="F2"/>
          <w:sz w:val="24"/>
          <w:szCs w:val="24"/>
          <w:lang w:eastAsia="pt-BR"/>
        </w:rPr>
      </w:pPr>
      <w:r w:rsidRPr="009916F3">
        <w:rPr>
          <w:rStyle w:val="Forte"/>
          <w:rFonts w:asciiTheme="majorHAnsi" w:hAnsiTheme="majorHAnsi" w:cs="Arial"/>
          <w:color w:val="0D0D0D" w:themeColor="text1" w:themeTint="F2"/>
          <w:sz w:val="24"/>
          <w:szCs w:val="24"/>
          <w:shd w:val="clear" w:color="auto" w:fill="FFFFFF"/>
        </w:rPr>
        <w:t>Quais são as espécies que fazem parte do Patrimônio Genético nacional?</w:t>
      </w:r>
    </w:p>
    <w:p w:rsidR="00BC5A65" w:rsidRPr="009916F3" w:rsidRDefault="00BC5A65" w:rsidP="009916F3">
      <w:pPr>
        <w:shd w:val="clear" w:color="auto" w:fill="FFFFFF"/>
        <w:spacing w:after="0" w:line="240" w:lineRule="auto"/>
        <w:rPr>
          <w:rFonts w:asciiTheme="majorHAnsi" w:eastAsia="Times New Roman" w:hAnsiTheme="majorHAnsi" w:cs="Arial"/>
          <w:color w:val="0D0D0D" w:themeColor="text1" w:themeTint="F2"/>
          <w:sz w:val="24"/>
          <w:szCs w:val="24"/>
          <w:lang w:eastAsia="pt-BR"/>
        </w:rPr>
      </w:pPr>
      <w:r w:rsidRPr="009916F3">
        <w:rPr>
          <w:rFonts w:asciiTheme="majorHAnsi" w:eastAsia="Times New Roman" w:hAnsiTheme="majorHAnsi" w:cs="Arial"/>
          <w:color w:val="0D0D0D" w:themeColor="text1" w:themeTint="F2"/>
          <w:sz w:val="24"/>
          <w:szCs w:val="24"/>
          <w:lang w:eastAsia="pt-BR"/>
        </w:rPr>
        <w:t>O Departamento do Patrimônio Genético</w:t>
      </w:r>
      <w:r w:rsidR="008D42BB">
        <w:rPr>
          <w:rFonts w:asciiTheme="majorHAnsi" w:eastAsia="Times New Roman" w:hAnsiTheme="majorHAnsi" w:cs="Arial"/>
          <w:color w:val="0D0D0D" w:themeColor="text1" w:themeTint="F2"/>
          <w:sz w:val="24"/>
          <w:szCs w:val="24"/>
          <w:lang w:eastAsia="pt-BR"/>
        </w:rPr>
        <w:t xml:space="preserve"> (DPG)</w:t>
      </w:r>
      <w:r w:rsidRPr="009916F3">
        <w:rPr>
          <w:rFonts w:asciiTheme="majorHAnsi" w:eastAsia="Times New Roman" w:hAnsiTheme="majorHAnsi" w:cs="Arial"/>
          <w:color w:val="0D0D0D" w:themeColor="text1" w:themeTint="F2"/>
          <w:sz w:val="24"/>
          <w:szCs w:val="24"/>
          <w:lang w:eastAsia="pt-BR"/>
        </w:rPr>
        <w:t xml:space="preserve"> orienta consultar se a espécie objeto de cadastro/regularização (ou seja, se faz parte do escopo da Lei nº 13.123/2015) encontra-se nas Listas de Espécies da Flora e da Fauna do Brasil, disponibilizadas, respectivamente, nos sítios eletrônicos </w:t>
      </w:r>
      <w:proofErr w:type="spellStart"/>
      <w:r w:rsidR="002D539E" w:rsidRPr="008D42BB">
        <w:rPr>
          <w:rFonts w:asciiTheme="majorHAnsi" w:hAnsiTheme="majorHAnsi"/>
          <w:color w:val="0D0D0D" w:themeColor="text1" w:themeTint="F2"/>
          <w:sz w:val="24"/>
          <w:szCs w:val="24"/>
        </w:rPr>
        <w:fldChar w:fldCharType="begin"/>
      </w:r>
      <w:r w:rsidRPr="008D42BB">
        <w:rPr>
          <w:rFonts w:asciiTheme="majorHAnsi" w:hAnsiTheme="majorHAnsi"/>
          <w:color w:val="0D0D0D" w:themeColor="text1" w:themeTint="F2"/>
          <w:sz w:val="24"/>
          <w:szCs w:val="24"/>
        </w:rPr>
        <w:instrText>HYPERLINK "http://floradobrasil.jbrj.gov.br/" \t "_blank"</w:instrText>
      </w:r>
      <w:r w:rsidR="002D539E" w:rsidRPr="008D42BB">
        <w:rPr>
          <w:rFonts w:asciiTheme="majorHAnsi" w:hAnsiTheme="majorHAnsi"/>
          <w:color w:val="0D0D0D" w:themeColor="text1" w:themeTint="F2"/>
          <w:sz w:val="24"/>
          <w:szCs w:val="24"/>
        </w:rPr>
        <w:fldChar w:fldCharType="separate"/>
      </w:r>
      <w:proofErr w:type="gramStart"/>
      <w:r w:rsidRPr="008D42BB">
        <w:rPr>
          <w:rFonts w:asciiTheme="majorHAnsi" w:eastAsia="Times New Roman" w:hAnsiTheme="majorHAnsi" w:cs="Arial"/>
          <w:color w:val="0D0D0D" w:themeColor="text1" w:themeTint="F2"/>
          <w:sz w:val="24"/>
          <w:szCs w:val="24"/>
          <w:lang w:eastAsia="pt-BR"/>
        </w:rPr>
        <w:t>floradobrasil</w:t>
      </w:r>
      <w:proofErr w:type="spellEnd"/>
      <w:r w:rsidRPr="008D42BB">
        <w:rPr>
          <w:rFonts w:asciiTheme="majorHAnsi" w:eastAsia="Times New Roman" w:hAnsiTheme="majorHAnsi" w:cs="Arial"/>
          <w:color w:val="0D0D0D" w:themeColor="text1" w:themeTint="F2"/>
          <w:sz w:val="24"/>
          <w:szCs w:val="24"/>
          <w:lang w:eastAsia="pt-BR"/>
        </w:rPr>
        <w:t>.</w:t>
      </w:r>
      <w:proofErr w:type="spellStart"/>
      <w:proofErr w:type="gramEnd"/>
      <w:r w:rsidRPr="008D42BB">
        <w:rPr>
          <w:rFonts w:asciiTheme="majorHAnsi" w:eastAsia="Times New Roman" w:hAnsiTheme="majorHAnsi" w:cs="Arial"/>
          <w:color w:val="0D0D0D" w:themeColor="text1" w:themeTint="F2"/>
          <w:sz w:val="24"/>
          <w:szCs w:val="24"/>
          <w:lang w:eastAsia="pt-BR"/>
        </w:rPr>
        <w:t>jbrj</w:t>
      </w:r>
      <w:proofErr w:type="spellEnd"/>
      <w:r w:rsidRPr="008D42BB">
        <w:rPr>
          <w:rFonts w:asciiTheme="majorHAnsi" w:eastAsia="Times New Roman" w:hAnsiTheme="majorHAnsi" w:cs="Arial"/>
          <w:color w:val="0D0D0D" w:themeColor="text1" w:themeTint="F2"/>
          <w:sz w:val="24"/>
          <w:szCs w:val="24"/>
          <w:lang w:eastAsia="pt-BR"/>
        </w:rPr>
        <w:t>.</w:t>
      </w:r>
      <w:proofErr w:type="spellStart"/>
      <w:r w:rsidRPr="008D42BB">
        <w:rPr>
          <w:rFonts w:asciiTheme="majorHAnsi" w:eastAsia="Times New Roman" w:hAnsiTheme="majorHAnsi" w:cs="Arial"/>
          <w:color w:val="0D0D0D" w:themeColor="text1" w:themeTint="F2"/>
          <w:sz w:val="24"/>
          <w:szCs w:val="24"/>
          <w:lang w:eastAsia="pt-BR"/>
        </w:rPr>
        <w:t>gov.br</w:t>
      </w:r>
      <w:proofErr w:type="spellEnd"/>
      <w:r w:rsidR="002D539E" w:rsidRPr="008D42BB">
        <w:rPr>
          <w:rFonts w:asciiTheme="majorHAnsi" w:hAnsiTheme="majorHAnsi"/>
          <w:color w:val="0D0D0D" w:themeColor="text1" w:themeTint="F2"/>
          <w:sz w:val="24"/>
          <w:szCs w:val="24"/>
        </w:rPr>
        <w:fldChar w:fldCharType="end"/>
      </w:r>
      <w:r w:rsidRPr="008D42BB">
        <w:rPr>
          <w:rFonts w:asciiTheme="majorHAnsi" w:eastAsia="Times New Roman" w:hAnsiTheme="majorHAnsi" w:cs="Arial"/>
          <w:color w:val="0D0D0D" w:themeColor="text1" w:themeTint="F2"/>
          <w:sz w:val="24"/>
          <w:szCs w:val="24"/>
          <w:lang w:eastAsia="pt-BR"/>
        </w:rPr>
        <w:t> e </w:t>
      </w:r>
      <w:hyperlink r:id="rId8" w:tgtFrame="_blank" w:history="1">
        <w:r w:rsidRPr="008D42BB">
          <w:rPr>
            <w:rFonts w:asciiTheme="majorHAnsi" w:eastAsia="Times New Roman" w:hAnsiTheme="majorHAnsi" w:cs="Arial"/>
            <w:color w:val="0D0D0D" w:themeColor="text1" w:themeTint="F2"/>
            <w:sz w:val="24"/>
            <w:szCs w:val="24"/>
            <w:lang w:eastAsia="pt-BR"/>
          </w:rPr>
          <w:t>fauna.</w:t>
        </w:r>
        <w:proofErr w:type="spellStart"/>
        <w:r w:rsidRPr="008D42BB">
          <w:rPr>
            <w:rFonts w:asciiTheme="majorHAnsi" w:eastAsia="Times New Roman" w:hAnsiTheme="majorHAnsi" w:cs="Arial"/>
            <w:color w:val="0D0D0D" w:themeColor="text1" w:themeTint="F2"/>
            <w:sz w:val="24"/>
            <w:szCs w:val="24"/>
            <w:lang w:eastAsia="pt-BR"/>
          </w:rPr>
          <w:t>jbrj</w:t>
        </w:r>
        <w:proofErr w:type="spellEnd"/>
        <w:r w:rsidRPr="008D42BB">
          <w:rPr>
            <w:rFonts w:asciiTheme="majorHAnsi" w:eastAsia="Times New Roman" w:hAnsiTheme="majorHAnsi" w:cs="Arial"/>
            <w:color w:val="0D0D0D" w:themeColor="text1" w:themeTint="F2"/>
            <w:sz w:val="24"/>
            <w:szCs w:val="24"/>
            <w:lang w:eastAsia="pt-BR"/>
          </w:rPr>
          <w:t>.</w:t>
        </w:r>
        <w:proofErr w:type="spellStart"/>
        <w:r w:rsidRPr="008D42BB">
          <w:rPr>
            <w:rFonts w:asciiTheme="majorHAnsi" w:eastAsia="Times New Roman" w:hAnsiTheme="majorHAnsi" w:cs="Arial"/>
            <w:color w:val="0D0D0D" w:themeColor="text1" w:themeTint="F2"/>
            <w:sz w:val="24"/>
            <w:szCs w:val="24"/>
            <w:lang w:eastAsia="pt-BR"/>
          </w:rPr>
          <w:t>gov.br</w:t>
        </w:r>
      </w:hyperlink>
      <w:r w:rsidRPr="009916F3">
        <w:rPr>
          <w:rFonts w:asciiTheme="majorHAnsi" w:eastAsia="Times New Roman" w:hAnsiTheme="majorHAnsi" w:cs="Arial"/>
          <w:color w:val="0D0D0D" w:themeColor="text1" w:themeTint="F2"/>
          <w:sz w:val="24"/>
          <w:szCs w:val="24"/>
          <w:lang w:eastAsia="pt-BR"/>
        </w:rPr>
        <w:t>,</w:t>
      </w:r>
      <w:proofErr w:type="spellEnd"/>
      <w:r w:rsidRPr="009916F3">
        <w:rPr>
          <w:rFonts w:asciiTheme="majorHAnsi" w:eastAsia="Times New Roman" w:hAnsiTheme="majorHAnsi" w:cs="Arial"/>
          <w:color w:val="0D0D0D" w:themeColor="text1" w:themeTint="F2"/>
          <w:sz w:val="24"/>
          <w:szCs w:val="24"/>
          <w:lang w:eastAsia="pt-BR"/>
        </w:rPr>
        <w:t> </w:t>
      </w:r>
    </w:p>
    <w:p w:rsidR="00F97FD6" w:rsidRPr="009916F3" w:rsidRDefault="00F97FD6" w:rsidP="009916F3">
      <w:pPr>
        <w:shd w:val="clear" w:color="auto" w:fill="FFFFFF"/>
        <w:spacing w:after="0" w:line="240" w:lineRule="auto"/>
        <w:rPr>
          <w:rFonts w:asciiTheme="majorHAnsi" w:hAnsiTheme="majorHAnsi" w:cs="Arial"/>
          <w:color w:val="0D0D0D" w:themeColor="text1" w:themeTint="F2"/>
          <w:sz w:val="24"/>
          <w:szCs w:val="24"/>
          <w:shd w:val="clear" w:color="auto" w:fill="FFFFFF"/>
        </w:rPr>
      </w:pPr>
      <w:r w:rsidRPr="009916F3">
        <w:rPr>
          <w:rFonts w:asciiTheme="majorHAnsi" w:hAnsiTheme="majorHAnsi" w:cs="Arial"/>
          <w:color w:val="0D0D0D" w:themeColor="text1" w:themeTint="F2"/>
          <w:sz w:val="24"/>
          <w:szCs w:val="24"/>
          <w:shd w:val="clear" w:color="auto" w:fill="FFFFFF"/>
        </w:rPr>
        <w:t>Ressalta-se, contudo, que </w:t>
      </w:r>
      <w:r w:rsidRPr="009916F3">
        <w:rPr>
          <w:rStyle w:val="Forte"/>
          <w:rFonts w:asciiTheme="majorHAnsi" w:hAnsiTheme="majorHAnsi" w:cs="Arial"/>
          <w:b w:val="0"/>
          <w:color w:val="0D0D0D" w:themeColor="text1" w:themeTint="F2"/>
          <w:sz w:val="24"/>
          <w:szCs w:val="24"/>
          <w:shd w:val="clear" w:color="auto" w:fill="FFFFFF"/>
        </w:rPr>
        <w:t>as listas não são exaustivas</w:t>
      </w:r>
      <w:r w:rsidRPr="009916F3">
        <w:rPr>
          <w:rFonts w:asciiTheme="majorHAnsi" w:hAnsiTheme="majorHAnsi" w:cs="Arial"/>
          <w:color w:val="0D0D0D" w:themeColor="text1" w:themeTint="F2"/>
          <w:sz w:val="24"/>
          <w:szCs w:val="24"/>
          <w:shd w:val="clear" w:color="auto" w:fill="FFFFFF"/>
        </w:rPr>
        <w:t> e </w:t>
      </w:r>
      <w:r w:rsidRPr="009916F3">
        <w:rPr>
          <w:rStyle w:val="Forte"/>
          <w:rFonts w:asciiTheme="majorHAnsi" w:hAnsiTheme="majorHAnsi" w:cs="Arial"/>
          <w:b w:val="0"/>
          <w:color w:val="0D0D0D" w:themeColor="text1" w:themeTint="F2"/>
          <w:sz w:val="24"/>
          <w:szCs w:val="24"/>
          <w:shd w:val="clear" w:color="auto" w:fill="FFFFFF"/>
        </w:rPr>
        <w:t>estão em constante atualização</w:t>
      </w:r>
      <w:r w:rsidRPr="009916F3">
        <w:rPr>
          <w:rFonts w:asciiTheme="majorHAnsi" w:hAnsiTheme="majorHAnsi" w:cs="Arial"/>
          <w:b/>
          <w:color w:val="0D0D0D" w:themeColor="text1" w:themeTint="F2"/>
          <w:sz w:val="24"/>
          <w:szCs w:val="24"/>
          <w:shd w:val="clear" w:color="auto" w:fill="FFFFFF"/>
        </w:rPr>
        <w:t xml:space="preserve">. </w:t>
      </w:r>
      <w:r w:rsidRPr="009916F3">
        <w:rPr>
          <w:rFonts w:asciiTheme="majorHAnsi" w:hAnsiTheme="majorHAnsi" w:cs="Arial"/>
          <w:color w:val="0D0D0D" w:themeColor="text1" w:themeTint="F2"/>
          <w:sz w:val="24"/>
          <w:szCs w:val="24"/>
          <w:shd w:val="clear" w:color="auto" w:fill="FFFFFF"/>
        </w:rPr>
        <w:t>Portanto,</w:t>
      </w:r>
      <w:r w:rsidRPr="009916F3">
        <w:rPr>
          <w:rFonts w:asciiTheme="majorHAnsi" w:hAnsiTheme="majorHAnsi" w:cs="Arial"/>
          <w:b/>
          <w:color w:val="0D0D0D" w:themeColor="text1" w:themeTint="F2"/>
          <w:sz w:val="24"/>
          <w:szCs w:val="24"/>
          <w:shd w:val="clear" w:color="auto" w:fill="FFFFFF"/>
        </w:rPr>
        <w:t> </w:t>
      </w:r>
      <w:r w:rsidRPr="009916F3">
        <w:rPr>
          <w:rStyle w:val="Forte"/>
          <w:rFonts w:asciiTheme="majorHAnsi" w:hAnsiTheme="majorHAnsi" w:cs="Arial"/>
          <w:b w:val="0"/>
          <w:color w:val="0D0D0D" w:themeColor="text1" w:themeTint="F2"/>
          <w:sz w:val="24"/>
          <w:szCs w:val="24"/>
          <w:shd w:val="clear" w:color="auto" w:fill="FFFFFF"/>
        </w:rPr>
        <w:t>devem ser utilizadas como</w:t>
      </w:r>
      <w:r w:rsidRPr="009916F3">
        <w:rPr>
          <w:rFonts w:asciiTheme="majorHAnsi" w:hAnsiTheme="majorHAnsi" w:cs="Arial"/>
          <w:b/>
          <w:color w:val="0D0D0D" w:themeColor="text1" w:themeTint="F2"/>
          <w:sz w:val="24"/>
          <w:szCs w:val="24"/>
          <w:shd w:val="clear" w:color="auto" w:fill="FFFFFF"/>
        </w:rPr>
        <w:t> </w:t>
      </w:r>
      <w:r w:rsidRPr="009916F3">
        <w:rPr>
          <w:rFonts w:asciiTheme="majorHAnsi" w:hAnsiTheme="majorHAnsi" w:cs="Arial"/>
          <w:color w:val="0D0D0D" w:themeColor="text1" w:themeTint="F2"/>
          <w:sz w:val="24"/>
          <w:szCs w:val="24"/>
          <w:shd w:val="clear" w:color="auto" w:fill="FFFFFF"/>
        </w:rPr>
        <w:t>uma</w:t>
      </w:r>
      <w:r w:rsidRPr="009916F3">
        <w:rPr>
          <w:rFonts w:asciiTheme="majorHAnsi" w:hAnsiTheme="majorHAnsi" w:cs="Arial"/>
          <w:b/>
          <w:color w:val="0D0D0D" w:themeColor="text1" w:themeTint="F2"/>
          <w:sz w:val="24"/>
          <w:szCs w:val="24"/>
          <w:shd w:val="clear" w:color="auto" w:fill="FFFFFF"/>
        </w:rPr>
        <w:t> </w:t>
      </w:r>
      <w:r w:rsidRPr="009916F3">
        <w:rPr>
          <w:rStyle w:val="Forte"/>
          <w:rFonts w:asciiTheme="majorHAnsi" w:hAnsiTheme="majorHAnsi" w:cs="Arial"/>
          <w:b w:val="0"/>
          <w:color w:val="0D0D0D" w:themeColor="text1" w:themeTint="F2"/>
          <w:sz w:val="24"/>
          <w:szCs w:val="24"/>
          <w:shd w:val="clear" w:color="auto" w:fill="FFFFFF"/>
        </w:rPr>
        <w:t>referência</w:t>
      </w:r>
      <w:r w:rsidRPr="009916F3">
        <w:rPr>
          <w:rFonts w:asciiTheme="majorHAnsi" w:hAnsiTheme="majorHAnsi" w:cs="Arial"/>
          <w:color w:val="0D0D0D" w:themeColor="text1" w:themeTint="F2"/>
          <w:sz w:val="24"/>
          <w:szCs w:val="24"/>
          <w:shd w:val="clear" w:color="auto" w:fill="FFFFFF"/>
        </w:rPr>
        <w:t>. Recomenda-se que um profissional especialista no grupo taxonômico de interesse seja consultado caso permaneçam dúvidas sobre a classificação taxonômica de determinada espécie, variedade ou raça como parte da biodiversidade brasileira.</w:t>
      </w:r>
    </w:p>
    <w:p w:rsidR="00F97FD6" w:rsidRPr="009916F3" w:rsidRDefault="00F97FD6" w:rsidP="009916F3">
      <w:pPr>
        <w:shd w:val="clear" w:color="auto" w:fill="FFFFFF"/>
        <w:spacing w:after="0" w:line="240" w:lineRule="auto"/>
        <w:rPr>
          <w:rFonts w:asciiTheme="majorHAnsi" w:hAnsiTheme="majorHAnsi" w:cs="Arial"/>
          <w:color w:val="0D0D0D" w:themeColor="text1" w:themeTint="F2"/>
          <w:sz w:val="24"/>
          <w:szCs w:val="24"/>
          <w:shd w:val="clear" w:color="auto" w:fill="FFFFFF"/>
        </w:rPr>
      </w:pPr>
      <w:r w:rsidRPr="009916F3">
        <w:rPr>
          <w:rFonts w:asciiTheme="majorHAnsi" w:eastAsia="Times New Roman" w:hAnsiTheme="majorHAnsi" w:cs="Arial"/>
          <w:color w:val="0D0D0D" w:themeColor="text1" w:themeTint="F2"/>
          <w:sz w:val="24"/>
          <w:szCs w:val="24"/>
          <w:lang w:eastAsia="pt-BR"/>
        </w:rPr>
        <w:t xml:space="preserve">As espécies que não pertencem à biodiversidade brasileira não estão no escopo da Lei nº 13.123/2015 e não </w:t>
      </w:r>
      <w:proofErr w:type="gramStart"/>
      <w:r w:rsidRPr="009916F3">
        <w:rPr>
          <w:rFonts w:asciiTheme="majorHAnsi" w:eastAsia="Times New Roman" w:hAnsiTheme="majorHAnsi" w:cs="Arial"/>
          <w:color w:val="0D0D0D" w:themeColor="text1" w:themeTint="F2"/>
          <w:sz w:val="24"/>
          <w:szCs w:val="24"/>
          <w:lang w:eastAsia="pt-BR"/>
        </w:rPr>
        <w:t>serão</w:t>
      </w:r>
      <w:proofErr w:type="gramEnd"/>
      <w:r w:rsidRPr="009916F3">
        <w:rPr>
          <w:rFonts w:asciiTheme="majorHAnsi" w:eastAsia="Times New Roman" w:hAnsiTheme="majorHAnsi" w:cs="Arial"/>
          <w:color w:val="0D0D0D" w:themeColor="text1" w:themeTint="F2"/>
          <w:sz w:val="24"/>
          <w:szCs w:val="24"/>
          <w:lang w:eastAsia="pt-BR"/>
        </w:rPr>
        <w:t xml:space="preserve"> objeto de cadastro/regularização. Portanto, pesquisas com essas </w:t>
      </w:r>
      <w:r w:rsidRPr="009916F3">
        <w:rPr>
          <w:rFonts w:asciiTheme="majorHAnsi" w:eastAsia="Times New Roman" w:hAnsiTheme="majorHAnsi" w:cs="Arial"/>
          <w:color w:val="0D0D0D" w:themeColor="text1" w:themeTint="F2"/>
          <w:sz w:val="24"/>
          <w:szCs w:val="24"/>
          <w:lang w:eastAsia="pt-BR"/>
        </w:rPr>
        <w:lastRenderedPageBreak/>
        <w:t xml:space="preserve">espécies não devem ser cadastradas no </w:t>
      </w:r>
      <w:proofErr w:type="gramStart"/>
      <w:r w:rsidRPr="009916F3">
        <w:rPr>
          <w:rFonts w:asciiTheme="majorHAnsi" w:eastAsia="Times New Roman" w:hAnsiTheme="majorHAnsi" w:cs="Arial"/>
          <w:color w:val="0D0D0D" w:themeColor="text1" w:themeTint="F2"/>
          <w:sz w:val="24"/>
          <w:szCs w:val="24"/>
          <w:lang w:eastAsia="pt-BR"/>
        </w:rPr>
        <w:t>SisGen</w:t>
      </w:r>
      <w:proofErr w:type="gramEnd"/>
      <w:r w:rsidRPr="009916F3">
        <w:rPr>
          <w:rFonts w:asciiTheme="majorHAnsi" w:eastAsia="Times New Roman" w:hAnsiTheme="majorHAnsi" w:cs="Arial"/>
          <w:color w:val="0D0D0D" w:themeColor="text1" w:themeTint="F2"/>
          <w:sz w:val="24"/>
          <w:szCs w:val="24"/>
          <w:lang w:eastAsia="pt-BR"/>
        </w:rPr>
        <w:t>.</w:t>
      </w:r>
      <w:r w:rsidRPr="009916F3">
        <w:rPr>
          <w:rFonts w:asciiTheme="majorHAnsi" w:eastAsia="Times New Roman" w:hAnsiTheme="majorHAnsi" w:cs="Arial"/>
          <w:color w:val="0D0D0D" w:themeColor="text1" w:themeTint="F2"/>
          <w:sz w:val="24"/>
          <w:szCs w:val="24"/>
          <w:lang w:eastAsia="pt-BR"/>
        </w:rPr>
        <w:br/>
      </w:r>
      <w:r w:rsidR="00BC5A65" w:rsidRPr="009916F3">
        <w:rPr>
          <w:rFonts w:asciiTheme="majorHAnsi" w:eastAsia="Times New Roman" w:hAnsiTheme="majorHAnsi" w:cs="Arial"/>
          <w:color w:val="0D0D0D" w:themeColor="text1" w:themeTint="F2"/>
          <w:sz w:val="24"/>
          <w:szCs w:val="24"/>
          <w:lang w:eastAsia="pt-BR"/>
        </w:rPr>
        <w:t xml:space="preserve">O Ministério da Agricultura, Pecuária e Abastecimento (MAPA) elaborou uma lista de espécies de plantas e de animais que foram introduzidas no território nacional (exóticas). As listas elaboradas pelo MAPA têm por objetivo apresentar a quais espécies não se aplicam as regras da Lei da Biodiversidade e, portanto, as atividades realizadas com essas espécies não devem ser cadastradas no </w:t>
      </w:r>
      <w:proofErr w:type="gramStart"/>
      <w:r w:rsidR="00BC5A65" w:rsidRPr="009916F3">
        <w:rPr>
          <w:rFonts w:asciiTheme="majorHAnsi" w:eastAsia="Times New Roman" w:hAnsiTheme="majorHAnsi" w:cs="Arial"/>
          <w:color w:val="0D0D0D" w:themeColor="text1" w:themeTint="F2"/>
          <w:sz w:val="24"/>
          <w:szCs w:val="24"/>
          <w:lang w:eastAsia="pt-BR"/>
        </w:rPr>
        <w:t>SisGen</w:t>
      </w:r>
      <w:proofErr w:type="gramEnd"/>
      <w:r w:rsidR="00BC5A65" w:rsidRPr="009916F3">
        <w:rPr>
          <w:rFonts w:asciiTheme="majorHAnsi" w:eastAsia="Times New Roman" w:hAnsiTheme="majorHAnsi" w:cs="Arial"/>
          <w:color w:val="0D0D0D" w:themeColor="text1" w:themeTint="F2"/>
          <w:sz w:val="24"/>
          <w:szCs w:val="24"/>
          <w:lang w:eastAsia="pt-BR"/>
        </w:rPr>
        <w:t xml:space="preserve">. Essas listas estão disponíveis em </w:t>
      </w:r>
      <w:r w:rsidR="00BC5A65" w:rsidRPr="009916F3">
        <w:rPr>
          <w:rFonts w:asciiTheme="majorHAnsi" w:hAnsiTheme="majorHAnsi"/>
          <w:color w:val="0D0D0D" w:themeColor="text1" w:themeTint="F2"/>
          <w:sz w:val="24"/>
          <w:szCs w:val="24"/>
        </w:rPr>
        <w:t>www.gov.br/agricultura/pt-br/assuntos/sustentabilidade/recursos-geneticos-1/especies-introduzidas.</w:t>
      </w:r>
      <w:r w:rsidR="00BC5A65" w:rsidRPr="009916F3">
        <w:rPr>
          <w:rFonts w:asciiTheme="majorHAnsi" w:eastAsia="Times New Roman" w:hAnsiTheme="majorHAnsi" w:cs="Arial"/>
          <w:color w:val="0D0D0D" w:themeColor="text1" w:themeTint="F2"/>
          <w:sz w:val="24"/>
          <w:szCs w:val="24"/>
          <w:lang w:eastAsia="pt-BR"/>
        </w:rPr>
        <w:br/>
      </w:r>
    </w:p>
    <w:p w:rsidR="00F97FD6" w:rsidRPr="009916F3" w:rsidRDefault="00F97FD6" w:rsidP="009916F3">
      <w:pPr>
        <w:shd w:val="clear" w:color="auto" w:fill="FFFFFF"/>
        <w:spacing w:after="0" w:line="240" w:lineRule="auto"/>
        <w:rPr>
          <w:rFonts w:asciiTheme="majorHAnsi" w:hAnsiTheme="majorHAnsi" w:cs="Arial"/>
          <w:color w:val="0D0D0D" w:themeColor="text1" w:themeTint="F2"/>
          <w:sz w:val="24"/>
          <w:szCs w:val="24"/>
        </w:rPr>
      </w:pPr>
      <w:r w:rsidRPr="009916F3">
        <w:rPr>
          <w:rStyle w:val="Forte"/>
          <w:rFonts w:asciiTheme="majorHAnsi" w:hAnsiTheme="majorHAnsi" w:cs="Arial"/>
          <w:color w:val="0D0D0D" w:themeColor="text1" w:themeTint="F2"/>
          <w:sz w:val="24"/>
          <w:szCs w:val="24"/>
        </w:rPr>
        <w:t xml:space="preserve">Quais atividades </w:t>
      </w:r>
      <w:r w:rsidR="00A17DCC">
        <w:rPr>
          <w:rStyle w:val="Forte"/>
          <w:rFonts w:asciiTheme="majorHAnsi" w:hAnsiTheme="majorHAnsi" w:cs="Arial"/>
          <w:color w:val="0D0D0D" w:themeColor="text1" w:themeTint="F2"/>
          <w:sz w:val="24"/>
          <w:szCs w:val="24"/>
        </w:rPr>
        <w:t xml:space="preserve">não </w:t>
      </w:r>
      <w:r w:rsidRPr="009916F3">
        <w:rPr>
          <w:rStyle w:val="Forte"/>
          <w:rFonts w:asciiTheme="majorHAnsi" w:hAnsiTheme="majorHAnsi" w:cs="Arial"/>
          <w:color w:val="0D0D0D" w:themeColor="text1" w:themeTint="F2"/>
          <w:sz w:val="24"/>
          <w:szCs w:val="24"/>
        </w:rPr>
        <w:t xml:space="preserve">se enquadram nos conceitos de </w:t>
      </w:r>
      <w:r w:rsidR="00A17DCC">
        <w:rPr>
          <w:rStyle w:val="Forte"/>
          <w:rFonts w:asciiTheme="majorHAnsi" w:hAnsiTheme="majorHAnsi" w:cs="Arial"/>
          <w:color w:val="0D0D0D" w:themeColor="text1" w:themeTint="F2"/>
          <w:sz w:val="24"/>
          <w:szCs w:val="24"/>
        </w:rPr>
        <w:t>acesso</w:t>
      </w:r>
      <w:r w:rsidRPr="009916F3">
        <w:rPr>
          <w:rStyle w:val="Forte"/>
          <w:rFonts w:asciiTheme="majorHAnsi" w:hAnsiTheme="majorHAnsi" w:cs="Arial"/>
          <w:color w:val="0D0D0D" w:themeColor="text1" w:themeTint="F2"/>
          <w:sz w:val="24"/>
          <w:szCs w:val="24"/>
        </w:rPr>
        <w:t>?</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t xml:space="preserve">As atividades que não se enquadram como atividades de acesso ao </w:t>
      </w:r>
      <w:r w:rsidR="00A17DCC">
        <w:rPr>
          <w:rFonts w:asciiTheme="majorHAnsi" w:hAnsiTheme="majorHAnsi" w:cs="Arial"/>
          <w:color w:val="0D0D0D" w:themeColor="text1" w:themeTint="F2"/>
        </w:rPr>
        <w:t>PG</w:t>
      </w:r>
      <w:r w:rsidRPr="009916F3">
        <w:rPr>
          <w:rFonts w:asciiTheme="majorHAnsi" w:hAnsiTheme="majorHAnsi" w:cs="Arial"/>
          <w:color w:val="0D0D0D" w:themeColor="text1" w:themeTint="F2"/>
        </w:rPr>
        <w:t xml:space="preserve"> são aquelas definidas no art. 107 do </w:t>
      </w:r>
      <w:r w:rsidR="008D42BB">
        <w:rPr>
          <w:rFonts w:asciiTheme="majorHAnsi" w:hAnsiTheme="majorHAnsi" w:cs="Arial"/>
          <w:color w:val="0D0D0D" w:themeColor="text1" w:themeTint="F2"/>
        </w:rPr>
        <w:t>Decreto nº 8.772/2016</w:t>
      </w:r>
      <w:r w:rsidRPr="009916F3">
        <w:rPr>
          <w:rFonts w:asciiTheme="majorHAnsi" w:hAnsiTheme="majorHAnsi" w:cs="Arial"/>
          <w:color w:val="0D0D0D" w:themeColor="text1" w:themeTint="F2"/>
        </w:rPr>
        <w:t xml:space="preserve">, desde que não </w:t>
      </w:r>
      <w:proofErr w:type="gramStart"/>
      <w:r w:rsidRPr="009916F3">
        <w:rPr>
          <w:rFonts w:asciiTheme="majorHAnsi" w:hAnsiTheme="majorHAnsi" w:cs="Arial"/>
          <w:color w:val="0D0D0D" w:themeColor="text1" w:themeTint="F2"/>
        </w:rPr>
        <w:t>sejam</w:t>
      </w:r>
      <w:proofErr w:type="gramEnd"/>
      <w:r w:rsidRPr="009916F3">
        <w:rPr>
          <w:rFonts w:asciiTheme="majorHAnsi" w:hAnsiTheme="majorHAnsi" w:cs="Arial"/>
          <w:color w:val="0D0D0D" w:themeColor="text1" w:themeTint="F2"/>
        </w:rPr>
        <w:t xml:space="preserve"> parte integrante de pesquisa ou desenvolvimento tecnológico; bem como as atividades equiparadas a estas, conforme a Orientação Técnica CGen nº 9</w:t>
      </w:r>
      <w:r w:rsidR="00A17DCC">
        <w:rPr>
          <w:rFonts w:asciiTheme="majorHAnsi" w:hAnsiTheme="majorHAnsi" w:cs="Arial"/>
          <w:color w:val="0D0D0D" w:themeColor="text1" w:themeTint="F2"/>
        </w:rPr>
        <w:t>/</w:t>
      </w:r>
      <w:r w:rsidRPr="009916F3">
        <w:rPr>
          <w:rFonts w:asciiTheme="majorHAnsi" w:hAnsiTheme="majorHAnsi" w:cs="Arial"/>
          <w:color w:val="0D0D0D" w:themeColor="text1" w:themeTint="F2"/>
        </w:rPr>
        <w:t>2018.</w:t>
      </w:r>
    </w:p>
    <w:p w:rsidR="00BC5A65" w:rsidRPr="009916F3" w:rsidRDefault="00BC5A65" w:rsidP="009916F3">
      <w:pPr>
        <w:spacing w:after="0" w:line="240" w:lineRule="auto"/>
        <w:rPr>
          <w:rFonts w:asciiTheme="majorHAnsi" w:hAnsiTheme="majorHAnsi" w:cs="Arial"/>
          <w:color w:val="0D0D0D" w:themeColor="text1" w:themeTint="F2"/>
          <w:sz w:val="24"/>
          <w:szCs w:val="24"/>
          <w:shd w:val="clear" w:color="auto" w:fill="FFFFFF"/>
        </w:rPr>
      </w:pPr>
    </w:p>
    <w:p w:rsidR="009916F3" w:rsidRPr="009916F3" w:rsidRDefault="009916F3"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Style w:val="Forte"/>
          <w:rFonts w:asciiTheme="majorHAnsi" w:hAnsiTheme="majorHAnsi" w:cs="Arial"/>
          <w:color w:val="0D0D0D" w:themeColor="text1" w:themeTint="F2"/>
        </w:rPr>
        <w:t xml:space="preserve">Pesquisas básicas, como </w:t>
      </w:r>
      <w:proofErr w:type="gramStart"/>
      <w:r w:rsidRPr="009916F3">
        <w:rPr>
          <w:rStyle w:val="Forte"/>
          <w:rFonts w:asciiTheme="majorHAnsi" w:hAnsiTheme="majorHAnsi" w:cs="Arial"/>
          <w:color w:val="0D0D0D" w:themeColor="text1" w:themeTint="F2"/>
        </w:rPr>
        <w:t>por exemplo</w:t>
      </w:r>
      <w:proofErr w:type="gramEnd"/>
      <w:r w:rsidRPr="009916F3">
        <w:rPr>
          <w:rStyle w:val="Forte"/>
          <w:rFonts w:asciiTheme="majorHAnsi" w:hAnsiTheme="majorHAnsi" w:cs="Arial"/>
          <w:color w:val="0D0D0D" w:themeColor="text1" w:themeTint="F2"/>
        </w:rPr>
        <w:t xml:space="preserve"> taxonomia, filogenia, epidemiologia, ecologia, biogeografia, </w:t>
      </w:r>
      <w:proofErr w:type="spellStart"/>
      <w:r w:rsidRPr="009916F3">
        <w:rPr>
          <w:rStyle w:val="Forte"/>
          <w:rFonts w:asciiTheme="majorHAnsi" w:hAnsiTheme="majorHAnsi" w:cs="Arial"/>
          <w:color w:val="0D0D0D" w:themeColor="text1" w:themeTint="F2"/>
        </w:rPr>
        <w:t>etc</w:t>
      </w:r>
      <w:proofErr w:type="spellEnd"/>
      <w:r w:rsidRPr="009916F3">
        <w:rPr>
          <w:rStyle w:val="Forte"/>
          <w:rFonts w:asciiTheme="majorHAnsi" w:hAnsiTheme="majorHAnsi" w:cs="Arial"/>
          <w:color w:val="0D0D0D" w:themeColor="text1" w:themeTint="F2"/>
        </w:rPr>
        <w:t>…, devem ser cadastradas?</w:t>
      </w:r>
      <w:r w:rsidRPr="009916F3">
        <w:rPr>
          <w:rFonts w:asciiTheme="majorHAnsi" w:hAnsiTheme="majorHAnsi" w:cs="Arial"/>
          <w:color w:val="0D0D0D" w:themeColor="text1" w:themeTint="F2"/>
        </w:rPr>
        <w:br/>
        <w:t xml:space="preserve">Sim, por causa da definição de </w:t>
      </w:r>
      <w:r w:rsidR="00A17DCC">
        <w:rPr>
          <w:rFonts w:asciiTheme="majorHAnsi" w:hAnsiTheme="majorHAnsi" w:cs="Arial"/>
          <w:color w:val="0D0D0D" w:themeColor="text1" w:themeTint="F2"/>
        </w:rPr>
        <w:t>PG</w:t>
      </w:r>
      <w:r w:rsidRPr="009916F3">
        <w:rPr>
          <w:rFonts w:asciiTheme="majorHAnsi" w:hAnsiTheme="majorHAnsi" w:cs="Arial"/>
          <w:color w:val="0D0D0D" w:themeColor="text1" w:themeTint="F2"/>
        </w:rPr>
        <w:t xml:space="preserve"> (informação de origem genética de espécies vegetais, animais, microbianas ou espécies de outra natureza, incluindo substâncias oriundas do metabolismo destes seres vivos). Portanto, estas pesquisas que não faziam parte do escopo da legislação anterior, estão contempladas na nova legislação.</w:t>
      </w:r>
    </w:p>
    <w:p w:rsidR="009916F3" w:rsidRDefault="009916F3" w:rsidP="009916F3">
      <w:pPr>
        <w:pStyle w:val="NormalWeb"/>
        <w:shd w:val="clear" w:color="auto" w:fill="FFFFFF"/>
        <w:spacing w:before="0" w:beforeAutospacing="0" w:after="0" w:afterAutospacing="0"/>
        <w:rPr>
          <w:rStyle w:val="Forte"/>
          <w:rFonts w:asciiTheme="majorHAnsi" w:hAnsiTheme="majorHAnsi" w:cs="Arial"/>
          <w:color w:val="0D0D0D" w:themeColor="text1" w:themeTint="F2"/>
        </w:rPr>
      </w:pPr>
    </w:p>
    <w:p w:rsidR="009916F3" w:rsidRPr="009916F3" w:rsidRDefault="009916F3"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Style w:val="Forte"/>
          <w:rFonts w:asciiTheme="majorHAnsi" w:hAnsiTheme="majorHAnsi" w:cs="Arial"/>
          <w:color w:val="0D0D0D" w:themeColor="text1" w:themeTint="F2"/>
        </w:rPr>
        <w:t>A partir de quando estas pesquisas básicas devem ser cadastradas?</w:t>
      </w:r>
    </w:p>
    <w:p w:rsidR="009916F3" w:rsidRPr="009916F3" w:rsidRDefault="009916F3"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t>A par</w:t>
      </w:r>
      <w:r w:rsidR="00A17DCC">
        <w:rPr>
          <w:rFonts w:asciiTheme="majorHAnsi" w:hAnsiTheme="majorHAnsi" w:cs="Arial"/>
          <w:color w:val="0D0D0D" w:themeColor="text1" w:themeTint="F2"/>
        </w:rPr>
        <w:t>tir da entrada em vigor da Lei (</w:t>
      </w:r>
      <w:r w:rsidRPr="009916F3">
        <w:rPr>
          <w:rFonts w:asciiTheme="majorHAnsi" w:hAnsiTheme="majorHAnsi" w:cs="Arial"/>
          <w:color w:val="0D0D0D" w:themeColor="text1" w:themeTint="F2"/>
        </w:rPr>
        <w:t>17</w:t>
      </w:r>
      <w:r w:rsidR="00A17DCC">
        <w:rPr>
          <w:rFonts w:asciiTheme="majorHAnsi" w:hAnsiTheme="majorHAnsi" w:cs="Arial"/>
          <w:color w:val="0D0D0D" w:themeColor="text1" w:themeTint="F2"/>
        </w:rPr>
        <w:t>/11/</w:t>
      </w:r>
      <w:r w:rsidRPr="009916F3">
        <w:rPr>
          <w:rFonts w:asciiTheme="majorHAnsi" w:hAnsiTheme="majorHAnsi" w:cs="Arial"/>
          <w:color w:val="0D0D0D" w:themeColor="text1" w:themeTint="F2"/>
        </w:rPr>
        <w:t>2015</w:t>
      </w:r>
      <w:r w:rsidR="00A17DCC">
        <w:rPr>
          <w:rFonts w:asciiTheme="majorHAnsi" w:hAnsiTheme="majorHAnsi" w:cs="Arial"/>
          <w:color w:val="0D0D0D" w:themeColor="text1" w:themeTint="F2"/>
        </w:rPr>
        <w:t>)</w:t>
      </w:r>
      <w:r w:rsidRPr="009916F3">
        <w:rPr>
          <w:rFonts w:asciiTheme="majorHAnsi" w:hAnsiTheme="majorHAnsi" w:cs="Arial"/>
          <w:color w:val="0D0D0D" w:themeColor="text1" w:themeTint="F2"/>
        </w:rPr>
        <w:t xml:space="preserve">, os projetos que já tiveram artigo publicado ou qualquer outra divulgação de resultados, por exemplo, trabalho de fim de curso, dissertação, tese, apresentação em eventos científicos, entre </w:t>
      </w:r>
      <w:r w:rsidR="00A17DCC" w:rsidRPr="009916F3">
        <w:rPr>
          <w:rFonts w:asciiTheme="majorHAnsi" w:hAnsiTheme="majorHAnsi" w:cs="Arial"/>
          <w:color w:val="0D0D0D" w:themeColor="text1" w:themeTint="F2"/>
        </w:rPr>
        <w:t>17</w:t>
      </w:r>
      <w:r w:rsidR="00A17DCC">
        <w:rPr>
          <w:rFonts w:asciiTheme="majorHAnsi" w:hAnsiTheme="majorHAnsi" w:cs="Arial"/>
          <w:color w:val="0D0D0D" w:themeColor="text1" w:themeTint="F2"/>
        </w:rPr>
        <w:t>/11/</w:t>
      </w:r>
      <w:r w:rsidR="00A17DCC" w:rsidRPr="009916F3">
        <w:rPr>
          <w:rFonts w:asciiTheme="majorHAnsi" w:hAnsiTheme="majorHAnsi" w:cs="Arial"/>
          <w:color w:val="0D0D0D" w:themeColor="text1" w:themeTint="F2"/>
        </w:rPr>
        <w:t>2015</w:t>
      </w:r>
      <w:r w:rsidR="00A17DCC">
        <w:rPr>
          <w:rFonts w:asciiTheme="majorHAnsi" w:hAnsiTheme="majorHAnsi" w:cs="Arial"/>
          <w:color w:val="0D0D0D" w:themeColor="text1" w:themeTint="F2"/>
        </w:rPr>
        <w:t xml:space="preserve"> </w:t>
      </w:r>
      <w:r w:rsidRPr="009916F3">
        <w:rPr>
          <w:rFonts w:asciiTheme="majorHAnsi" w:hAnsiTheme="majorHAnsi" w:cs="Arial"/>
          <w:color w:val="0D0D0D" w:themeColor="text1" w:themeTint="F2"/>
        </w:rPr>
        <w:t>e 06</w:t>
      </w:r>
      <w:r w:rsidR="00A17DCC">
        <w:rPr>
          <w:rFonts w:asciiTheme="majorHAnsi" w:hAnsiTheme="majorHAnsi" w:cs="Arial"/>
          <w:color w:val="0D0D0D" w:themeColor="text1" w:themeTint="F2"/>
        </w:rPr>
        <w:t>/11/</w:t>
      </w:r>
      <w:r w:rsidRPr="009916F3">
        <w:rPr>
          <w:rFonts w:asciiTheme="majorHAnsi" w:hAnsiTheme="majorHAnsi" w:cs="Arial"/>
          <w:color w:val="0D0D0D" w:themeColor="text1" w:themeTint="F2"/>
        </w:rPr>
        <w:t>201</w:t>
      </w:r>
      <w:r w:rsidR="00A17DCC">
        <w:rPr>
          <w:rFonts w:asciiTheme="majorHAnsi" w:hAnsiTheme="majorHAnsi" w:cs="Arial"/>
          <w:color w:val="0D0D0D" w:themeColor="text1" w:themeTint="F2"/>
        </w:rPr>
        <w:t xml:space="preserve">7 </w:t>
      </w:r>
      <w:proofErr w:type="gramStart"/>
      <w:r w:rsidR="00A17DCC">
        <w:rPr>
          <w:rFonts w:asciiTheme="majorHAnsi" w:hAnsiTheme="majorHAnsi" w:cs="Arial"/>
          <w:color w:val="0D0D0D" w:themeColor="text1" w:themeTint="F2"/>
        </w:rPr>
        <w:t>deverão ser</w:t>
      </w:r>
      <w:proofErr w:type="gramEnd"/>
      <w:r w:rsidR="00A17DCC">
        <w:rPr>
          <w:rFonts w:asciiTheme="majorHAnsi" w:hAnsiTheme="majorHAnsi" w:cs="Arial"/>
          <w:color w:val="0D0D0D" w:themeColor="text1" w:themeTint="F2"/>
        </w:rPr>
        <w:t xml:space="preserve"> cadastrados até 5/11/</w:t>
      </w:r>
      <w:r w:rsidRPr="009916F3">
        <w:rPr>
          <w:rFonts w:asciiTheme="majorHAnsi" w:hAnsiTheme="majorHAnsi" w:cs="Arial"/>
          <w:color w:val="0D0D0D" w:themeColor="text1" w:themeTint="F2"/>
        </w:rPr>
        <w:t>2018. Os demais casos deverão ser cadastrados previamente às atividades listadas no art. 12 da Lei 13.123, de 2015 (remessa; requerimento de qualquer direito de propriedade intelectual; comercialização do produto intermediário; divulgação dos resultados, finais ou parciais, em meios científicos ou de comunicação; notificação de produto acabado ou material reprodutivo desenvolvido em decorrência do acesso).</w:t>
      </w:r>
    </w:p>
    <w:p w:rsidR="009916F3" w:rsidRPr="009916F3" w:rsidRDefault="009916F3" w:rsidP="009916F3">
      <w:pPr>
        <w:spacing w:after="0" w:line="240" w:lineRule="auto"/>
        <w:rPr>
          <w:rFonts w:asciiTheme="majorHAnsi" w:hAnsiTheme="majorHAnsi" w:cs="Arial"/>
          <w:color w:val="0D0D0D" w:themeColor="text1" w:themeTint="F2"/>
          <w:sz w:val="24"/>
          <w:szCs w:val="24"/>
          <w:shd w:val="clear" w:color="auto" w:fill="FFFFFF"/>
        </w:rPr>
      </w:pPr>
    </w:p>
    <w:p w:rsidR="00BC5A65" w:rsidRPr="009916F3" w:rsidRDefault="009916F3" w:rsidP="009916F3">
      <w:pPr>
        <w:shd w:val="clear" w:color="auto" w:fill="FFFFFF"/>
        <w:spacing w:after="0" w:line="240" w:lineRule="auto"/>
        <w:rPr>
          <w:rFonts w:asciiTheme="majorHAnsi" w:hAnsiTheme="majorHAnsi" w:cs="Arial"/>
          <w:color w:val="0D0D0D" w:themeColor="text1" w:themeTint="F2"/>
          <w:sz w:val="24"/>
          <w:szCs w:val="24"/>
        </w:rPr>
      </w:pPr>
      <w:r>
        <w:rPr>
          <w:rFonts w:asciiTheme="majorHAnsi" w:hAnsiTheme="majorHAnsi" w:cs="Arial"/>
          <w:b/>
          <w:color w:val="0D0D0D" w:themeColor="text1" w:themeTint="F2"/>
          <w:sz w:val="24"/>
          <w:szCs w:val="24"/>
        </w:rPr>
        <w:t>M</w:t>
      </w:r>
      <w:r w:rsidRPr="009916F3">
        <w:rPr>
          <w:rFonts w:asciiTheme="majorHAnsi" w:hAnsiTheme="majorHAnsi" w:cs="Arial"/>
          <w:b/>
          <w:color w:val="0D0D0D" w:themeColor="text1" w:themeTint="F2"/>
          <w:sz w:val="24"/>
          <w:szCs w:val="24"/>
        </w:rPr>
        <w:t xml:space="preserve">icrorganismos </w:t>
      </w:r>
      <w:r w:rsidR="00BC5A65" w:rsidRPr="009916F3">
        <w:rPr>
          <w:rStyle w:val="Forte"/>
          <w:rFonts w:asciiTheme="majorHAnsi" w:hAnsiTheme="majorHAnsi" w:cs="Arial"/>
          <w:color w:val="0D0D0D" w:themeColor="text1" w:themeTint="F2"/>
          <w:sz w:val="24"/>
          <w:szCs w:val="24"/>
        </w:rPr>
        <w:t>são considerados Patrimônio Genético nacional?</w:t>
      </w:r>
    </w:p>
    <w:p w:rsidR="00BC5A65" w:rsidRPr="009916F3" w:rsidRDefault="00BC5A65"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Style w:val="Forte"/>
          <w:rFonts w:asciiTheme="majorHAnsi" w:hAnsiTheme="majorHAnsi" w:cs="Arial"/>
          <w:b w:val="0"/>
          <w:color w:val="0D0D0D" w:themeColor="text1" w:themeTint="F2"/>
        </w:rPr>
        <w:t>Sim</w:t>
      </w:r>
      <w:r w:rsidRPr="009916F3">
        <w:rPr>
          <w:rFonts w:asciiTheme="majorHAnsi" w:hAnsiTheme="majorHAnsi" w:cs="Arial"/>
          <w:b/>
          <w:color w:val="0D0D0D" w:themeColor="text1" w:themeTint="F2"/>
        </w:rPr>
        <w:t>.</w:t>
      </w:r>
      <w:r w:rsidRPr="009916F3">
        <w:rPr>
          <w:rFonts w:asciiTheme="majorHAnsi" w:hAnsiTheme="majorHAnsi" w:cs="Arial"/>
          <w:color w:val="0D0D0D" w:themeColor="text1" w:themeTint="F2"/>
        </w:rPr>
        <w:t xml:space="preserve"> A </w:t>
      </w:r>
      <w:hyperlink r:id="rId9" w:tgtFrame="_blank" w:history="1">
        <w:r w:rsidR="008D42BB">
          <w:rPr>
            <w:rStyle w:val="Hyperlink"/>
            <w:rFonts w:asciiTheme="majorHAnsi" w:hAnsiTheme="majorHAnsi" w:cs="Arial"/>
            <w:color w:val="0D0D0D" w:themeColor="text1" w:themeTint="F2"/>
            <w:u w:val="none"/>
          </w:rPr>
          <w:t>Lei nº 13.123/2015</w:t>
        </w:r>
      </w:hyperlink>
      <w:r w:rsidRPr="009916F3">
        <w:rPr>
          <w:rFonts w:asciiTheme="majorHAnsi" w:hAnsiTheme="majorHAnsi" w:cs="Arial"/>
          <w:color w:val="0D0D0D" w:themeColor="text1" w:themeTint="F2"/>
        </w:rPr>
        <w:t>, determina que “</w:t>
      </w:r>
      <w:r w:rsidRPr="009916F3">
        <w:rPr>
          <w:rStyle w:val="nfase"/>
          <w:rFonts w:asciiTheme="majorHAnsi" w:hAnsiTheme="majorHAnsi" w:cs="Arial"/>
          <w:i w:val="0"/>
          <w:color w:val="0D0D0D" w:themeColor="text1" w:themeTint="F2"/>
        </w:rPr>
        <w:t>considera-se parte do patrimônio genético existente no território nacional, para os efeitos da Lei, o microrganismo que tenha sido isolado a partir de substratos do território nacional, do mar territorial, da zona econômica exclusiva ou da plataforma continental</w:t>
      </w:r>
      <w:r w:rsidRPr="009916F3">
        <w:rPr>
          <w:rFonts w:asciiTheme="majorHAnsi" w:hAnsiTheme="majorHAnsi" w:cs="Arial"/>
          <w:color w:val="0D0D0D" w:themeColor="text1" w:themeTint="F2"/>
        </w:rPr>
        <w:t>” (</w:t>
      </w:r>
      <w:r w:rsidR="00A17DCC">
        <w:rPr>
          <w:rFonts w:asciiTheme="majorHAnsi" w:hAnsiTheme="majorHAnsi" w:cs="Arial"/>
          <w:color w:val="0D0D0D" w:themeColor="text1" w:themeTint="F2"/>
        </w:rPr>
        <w:t>a</w:t>
      </w:r>
      <w:r w:rsidRPr="009916F3">
        <w:rPr>
          <w:rFonts w:asciiTheme="majorHAnsi" w:hAnsiTheme="majorHAnsi" w:cs="Arial"/>
          <w:color w:val="0D0D0D" w:themeColor="text1" w:themeTint="F2"/>
        </w:rPr>
        <w:t xml:space="preserve">rt. 2º, </w:t>
      </w:r>
      <w:r w:rsidR="00A17DCC">
        <w:rPr>
          <w:rFonts w:asciiTheme="majorHAnsi" w:hAnsiTheme="majorHAnsi" w:cs="Arial"/>
          <w:color w:val="0D0D0D" w:themeColor="text1" w:themeTint="F2"/>
        </w:rPr>
        <w:t>p</w:t>
      </w:r>
      <w:r w:rsidRPr="009916F3">
        <w:rPr>
          <w:rFonts w:asciiTheme="majorHAnsi" w:hAnsiTheme="majorHAnsi" w:cs="Arial"/>
          <w:color w:val="0D0D0D" w:themeColor="text1" w:themeTint="F2"/>
        </w:rPr>
        <w:t>arágrafo único).</w:t>
      </w:r>
    </w:p>
    <w:p w:rsidR="00F97FD6" w:rsidRPr="009916F3" w:rsidRDefault="00F97FD6" w:rsidP="009916F3">
      <w:pPr>
        <w:shd w:val="clear" w:color="auto" w:fill="FFFFFF"/>
        <w:spacing w:after="0" w:line="240" w:lineRule="auto"/>
        <w:rPr>
          <w:rFonts w:asciiTheme="majorHAnsi" w:hAnsiTheme="majorHAnsi" w:cs="Arial"/>
          <w:color w:val="0D0D0D" w:themeColor="text1" w:themeTint="F2"/>
          <w:sz w:val="24"/>
          <w:szCs w:val="24"/>
        </w:rPr>
      </w:pPr>
    </w:p>
    <w:p w:rsidR="00BC5A65" w:rsidRPr="009916F3" w:rsidRDefault="00BC5A65" w:rsidP="009916F3">
      <w:pPr>
        <w:shd w:val="clear" w:color="auto" w:fill="FFFFFF"/>
        <w:spacing w:after="0" w:line="240" w:lineRule="auto"/>
        <w:rPr>
          <w:rFonts w:asciiTheme="majorHAnsi" w:hAnsiTheme="majorHAnsi" w:cs="Arial"/>
          <w:b/>
          <w:color w:val="0D0D0D" w:themeColor="text1" w:themeTint="F2"/>
          <w:sz w:val="24"/>
          <w:szCs w:val="24"/>
        </w:rPr>
      </w:pPr>
      <w:r w:rsidRPr="009916F3">
        <w:rPr>
          <w:rFonts w:asciiTheme="majorHAnsi" w:hAnsiTheme="majorHAnsi" w:cs="Arial"/>
          <w:b/>
          <w:color w:val="0D0D0D" w:themeColor="text1" w:themeTint="F2"/>
          <w:sz w:val="24"/>
          <w:szCs w:val="24"/>
        </w:rPr>
        <w:t>Quando microrganismos não são considerados Patrimônio Genético nacional?</w:t>
      </w:r>
    </w:p>
    <w:p w:rsidR="00BC5A65" w:rsidRPr="009916F3" w:rsidRDefault="00BC5A65"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t>Microrganismos </w:t>
      </w:r>
      <w:r w:rsidRPr="009916F3">
        <w:rPr>
          <w:rStyle w:val="Forte"/>
          <w:rFonts w:asciiTheme="majorHAnsi" w:hAnsiTheme="majorHAnsi" w:cs="Arial"/>
          <w:b w:val="0"/>
          <w:color w:val="0D0D0D" w:themeColor="text1" w:themeTint="F2"/>
        </w:rPr>
        <w:t>não serão considerados</w:t>
      </w:r>
      <w:r w:rsidRPr="009916F3">
        <w:rPr>
          <w:rFonts w:asciiTheme="majorHAnsi" w:hAnsiTheme="majorHAnsi" w:cs="Arial"/>
          <w:color w:val="0D0D0D" w:themeColor="text1" w:themeTint="F2"/>
        </w:rPr>
        <w:t xml:space="preserve"> como parte do </w:t>
      </w:r>
      <w:r w:rsidR="00A17DCC">
        <w:rPr>
          <w:rFonts w:asciiTheme="majorHAnsi" w:hAnsiTheme="majorHAnsi" w:cs="Arial"/>
          <w:color w:val="0D0D0D" w:themeColor="text1" w:themeTint="F2"/>
        </w:rPr>
        <w:t>PG</w:t>
      </w:r>
      <w:r w:rsidRPr="009916F3">
        <w:rPr>
          <w:rFonts w:asciiTheme="majorHAnsi" w:hAnsiTheme="majorHAnsi" w:cs="Arial"/>
          <w:color w:val="0D0D0D" w:themeColor="text1" w:themeTint="F2"/>
        </w:rPr>
        <w:t xml:space="preserve"> brasileiro apenas quando for comprovado que o microrganismo: foi isolado a partir de substratos que não sejam do território nacional, do mar territorial, da zona econômica exclusiva ou da plataforma continental; e que o microrganismo foi importado regularmente para o Brasil (</w:t>
      </w:r>
      <w:r w:rsidR="00F97FD6" w:rsidRPr="009916F3">
        <w:rPr>
          <w:rFonts w:asciiTheme="majorHAnsi" w:hAnsiTheme="majorHAnsi" w:cs="Arial"/>
          <w:color w:val="0D0D0D" w:themeColor="text1" w:themeTint="F2"/>
        </w:rPr>
        <w:t>a</w:t>
      </w:r>
      <w:r w:rsidRPr="009916F3">
        <w:rPr>
          <w:rFonts w:asciiTheme="majorHAnsi" w:hAnsiTheme="majorHAnsi" w:cs="Arial"/>
          <w:color w:val="0D0D0D" w:themeColor="text1" w:themeTint="F2"/>
        </w:rPr>
        <w:t>rt. 1º, § 2º do </w:t>
      </w:r>
      <w:hyperlink r:id="rId10" w:tgtFrame="_blank" w:history="1">
        <w:r w:rsidR="008D42BB">
          <w:rPr>
            <w:rStyle w:val="Hyperlink"/>
            <w:rFonts w:asciiTheme="majorHAnsi" w:hAnsiTheme="majorHAnsi" w:cs="Arial"/>
            <w:color w:val="0D0D0D" w:themeColor="text1" w:themeTint="F2"/>
            <w:u w:val="none"/>
          </w:rPr>
          <w:t>Decreto nº 8.772/2016</w:t>
        </w:r>
      </w:hyperlink>
      <w:r w:rsidRPr="009916F3">
        <w:rPr>
          <w:rFonts w:asciiTheme="majorHAnsi" w:hAnsiTheme="majorHAnsi" w:cs="Arial"/>
          <w:color w:val="0D0D0D" w:themeColor="text1" w:themeTint="F2"/>
        </w:rPr>
        <w:t>).</w:t>
      </w:r>
    </w:p>
    <w:p w:rsidR="00BC5A65" w:rsidRPr="009916F3" w:rsidRDefault="00BC5A65"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t>As condições descritas acima devem ser cumpridas simultaneamente para que o microrganismo não seja considerado patrimônio genético nacional. Isto é, um microrganismo regularmente importado, mas que tenha sido isolado a partir de substrato do território nacional continuará sendo considerado como patrimônio genético nacional.</w:t>
      </w:r>
    </w:p>
    <w:p w:rsidR="00BC5A65" w:rsidRPr="009916F3" w:rsidRDefault="00BC5A65" w:rsidP="009916F3">
      <w:pPr>
        <w:spacing w:after="0" w:line="240" w:lineRule="auto"/>
        <w:rPr>
          <w:rFonts w:asciiTheme="majorHAnsi" w:eastAsia="Times New Roman" w:hAnsiTheme="majorHAnsi" w:cs="Arial"/>
          <w:color w:val="0D0D0D" w:themeColor="text1" w:themeTint="F2"/>
          <w:sz w:val="24"/>
          <w:szCs w:val="24"/>
          <w:lang w:eastAsia="pt-BR"/>
        </w:rPr>
      </w:pP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Style w:val="Forte"/>
          <w:rFonts w:asciiTheme="majorHAnsi" w:hAnsiTheme="majorHAnsi" w:cs="Arial"/>
          <w:color w:val="0D0D0D" w:themeColor="text1" w:themeTint="F2"/>
        </w:rPr>
        <w:t>O que é conhecimento tradicional associado (CTA) de origem não identificável?</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lastRenderedPageBreak/>
        <w:t>A </w:t>
      </w:r>
      <w:r w:rsidR="008D42BB">
        <w:rPr>
          <w:rFonts w:asciiTheme="majorHAnsi" w:hAnsiTheme="majorHAnsi" w:cs="Arial"/>
          <w:color w:val="0D0D0D" w:themeColor="text1" w:themeTint="F2"/>
        </w:rPr>
        <w:t>Lei nº 13.123/2015</w:t>
      </w:r>
      <w:proofErr w:type="gramStart"/>
      <w:r w:rsidRPr="009916F3">
        <w:rPr>
          <w:rFonts w:asciiTheme="majorHAnsi" w:hAnsiTheme="majorHAnsi" w:cs="Arial"/>
          <w:color w:val="0D0D0D" w:themeColor="text1" w:themeTint="F2"/>
        </w:rPr>
        <w:t>, define</w:t>
      </w:r>
      <w:proofErr w:type="gramEnd"/>
      <w:r w:rsidRPr="009916F3">
        <w:rPr>
          <w:rFonts w:asciiTheme="majorHAnsi" w:hAnsiTheme="majorHAnsi" w:cs="Arial"/>
          <w:color w:val="0D0D0D" w:themeColor="text1" w:themeTint="F2"/>
        </w:rPr>
        <w:t xml:space="preserve"> “conhecimento tradicional associado de origem não identificável” como aquele “(…) em que não há a possibilidade de vincular a sua origem a, pelo menos, uma população indígena, comunidade tradicional ou agricultor tradicional”. (</w:t>
      </w:r>
      <w:r w:rsidR="00A17DCC">
        <w:rPr>
          <w:rFonts w:asciiTheme="majorHAnsi" w:hAnsiTheme="majorHAnsi" w:cs="Arial"/>
          <w:color w:val="0D0D0D" w:themeColor="text1" w:themeTint="F2"/>
        </w:rPr>
        <w:t>a</w:t>
      </w:r>
      <w:r w:rsidRPr="009916F3">
        <w:rPr>
          <w:rFonts w:asciiTheme="majorHAnsi" w:hAnsiTheme="majorHAnsi" w:cs="Arial"/>
          <w:color w:val="0D0D0D" w:themeColor="text1" w:themeTint="F2"/>
        </w:rPr>
        <w:t>rt. 2º, inciso III).</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t>Para realizar o acesso ao CTA de origem não identificável não é exigido do usuário o consentimento prévio informado do provedor (</w:t>
      </w:r>
      <w:r w:rsidR="00A17DCC">
        <w:rPr>
          <w:rFonts w:asciiTheme="majorHAnsi" w:hAnsiTheme="majorHAnsi" w:cs="Arial"/>
          <w:color w:val="0D0D0D" w:themeColor="text1" w:themeTint="F2"/>
        </w:rPr>
        <w:t>a</w:t>
      </w:r>
      <w:r w:rsidRPr="009916F3">
        <w:rPr>
          <w:rFonts w:asciiTheme="majorHAnsi" w:hAnsiTheme="majorHAnsi" w:cs="Arial"/>
          <w:color w:val="0D0D0D" w:themeColor="text1" w:themeTint="F2"/>
        </w:rPr>
        <w:t xml:space="preserve">rt. 9º, § 2º da </w:t>
      </w:r>
      <w:r w:rsidR="008D42BB">
        <w:rPr>
          <w:rFonts w:asciiTheme="majorHAnsi" w:hAnsiTheme="majorHAnsi" w:cs="Arial"/>
          <w:color w:val="0D0D0D" w:themeColor="text1" w:themeTint="F2"/>
        </w:rPr>
        <w:t>Lei nº 13.123/2015</w:t>
      </w:r>
      <w:r w:rsidRPr="009916F3">
        <w:rPr>
          <w:rFonts w:asciiTheme="majorHAnsi" w:hAnsiTheme="majorHAnsi" w:cs="Arial"/>
          <w:color w:val="0D0D0D" w:themeColor="text1" w:themeTint="F2"/>
        </w:rPr>
        <w:t>).</w:t>
      </w:r>
    </w:p>
    <w:p w:rsidR="00F97FD6" w:rsidRPr="009916F3" w:rsidRDefault="00F97FD6" w:rsidP="009916F3">
      <w:pPr>
        <w:pStyle w:val="NormalWeb"/>
        <w:shd w:val="clear" w:color="auto" w:fill="FFFFFF"/>
        <w:spacing w:before="0" w:beforeAutospacing="0" w:after="0" w:afterAutospacing="0"/>
        <w:rPr>
          <w:rStyle w:val="Forte"/>
          <w:rFonts w:asciiTheme="majorHAnsi" w:hAnsiTheme="majorHAnsi" w:cs="Arial"/>
          <w:color w:val="0D0D0D" w:themeColor="text1" w:themeTint="F2"/>
        </w:rPr>
      </w:pP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Style w:val="Forte"/>
          <w:rFonts w:asciiTheme="majorHAnsi" w:hAnsiTheme="majorHAnsi" w:cs="Arial"/>
          <w:color w:val="0D0D0D" w:themeColor="text1" w:themeTint="F2"/>
        </w:rPr>
        <w:t>O que é conhecimento tradicional associado (CTA) de origem identificável?</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t>O </w:t>
      </w:r>
      <w:r w:rsidR="008D42BB">
        <w:rPr>
          <w:rFonts w:asciiTheme="majorHAnsi" w:hAnsiTheme="majorHAnsi" w:cs="Arial"/>
          <w:color w:val="0D0D0D" w:themeColor="text1" w:themeTint="F2"/>
        </w:rPr>
        <w:t>Decreto nº 8.772/2016</w:t>
      </w:r>
      <w:r w:rsidRPr="009916F3">
        <w:rPr>
          <w:rFonts w:asciiTheme="majorHAnsi" w:hAnsiTheme="majorHAnsi" w:cs="Arial"/>
          <w:color w:val="0D0D0D" w:themeColor="text1" w:themeTint="F2"/>
        </w:rPr>
        <w:t>, define origem identificável como “qualquer população indígena, comunidade tradicional ou agricultor tradicional que cria, desenvolve, detém ou conserva determinado conhecimento tradicional associado”. (</w:t>
      </w:r>
      <w:r w:rsidR="00A17DCC">
        <w:rPr>
          <w:rFonts w:asciiTheme="majorHAnsi" w:hAnsiTheme="majorHAnsi" w:cs="Arial"/>
          <w:color w:val="0D0D0D" w:themeColor="text1" w:themeTint="F2"/>
        </w:rPr>
        <w:t>a</w:t>
      </w:r>
      <w:r w:rsidRPr="009916F3">
        <w:rPr>
          <w:rFonts w:asciiTheme="majorHAnsi" w:hAnsiTheme="majorHAnsi" w:cs="Arial"/>
          <w:color w:val="0D0D0D" w:themeColor="text1" w:themeTint="F2"/>
        </w:rPr>
        <w:t xml:space="preserve">rt. 12, § 2º do </w:t>
      </w:r>
      <w:r w:rsidR="008D42BB">
        <w:rPr>
          <w:rFonts w:asciiTheme="majorHAnsi" w:hAnsiTheme="majorHAnsi" w:cs="Arial"/>
          <w:color w:val="0D0D0D" w:themeColor="text1" w:themeTint="F2"/>
        </w:rPr>
        <w:t>Decreto nº 8.772/2016</w:t>
      </w:r>
      <w:r w:rsidRPr="009916F3">
        <w:rPr>
          <w:rFonts w:asciiTheme="majorHAnsi" w:hAnsiTheme="majorHAnsi" w:cs="Arial"/>
          <w:color w:val="0D0D0D" w:themeColor="text1" w:themeTint="F2"/>
        </w:rPr>
        <w:t>).</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t>Para realizar o acesso ao CTA de origem identificável é exigido do usuário que, antes de iniciar suas atividades de acesso, obtenha o consentimento prévio informado do provedor (Art. 9º da </w:t>
      </w:r>
      <w:r w:rsidR="008D42BB">
        <w:rPr>
          <w:rFonts w:asciiTheme="majorHAnsi" w:hAnsiTheme="majorHAnsi" w:cs="Arial"/>
          <w:color w:val="0D0D0D" w:themeColor="text1" w:themeTint="F2"/>
        </w:rPr>
        <w:t>Lei nº 13.123/2015</w:t>
      </w:r>
      <w:r w:rsidRPr="009916F3">
        <w:rPr>
          <w:rFonts w:asciiTheme="majorHAnsi" w:hAnsiTheme="majorHAnsi" w:cs="Arial"/>
          <w:color w:val="0D0D0D" w:themeColor="text1" w:themeTint="F2"/>
        </w:rPr>
        <w:t>).</w:t>
      </w:r>
    </w:p>
    <w:p w:rsidR="00A17DCC" w:rsidRDefault="00A17DCC" w:rsidP="009916F3">
      <w:pPr>
        <w:shd w:val="clear" w:color="auto" w:fill="FFFFFF"/>
        <w:spacing w:after="0" w:line="240" w:lineRule="auto"/>
        <w:rPr>
          <w:rStyle w:val="Forte"/>
          <w:rFonts w:asciiTheme="majorHAnsi" w:hAnsiTheme="majorHAnsi" w:cs="Arial"/>
          <w:color w:val="0D0D0D" w:themeColor="text1" w:themeTint="F2"/>
          <w:sz w:val="24"/>
          <w:szCs w:val="24"/>
        </w:rPr>
      </w:pPr>
    </w:p>
    <w:p w:rsidR="00F97FD6" w:rsidRPr="009916F3" w:rsidRDefault="00F97FD6" w:rsidP="009916F3">
      <w:pPr>
        <w:shd w:val="clear" w:color="auto" w:fill="FFFFFF"/>
        <w:spacing w:after="0" w:line="240" w:lineRule="auto"/>
        <w:rPr>
          <w:rFonts w:asciiTheme="majorHAnsi" w:hAnsiTheme="majorHAnsi" w:cs="Arial"/>
          <w:color w:val="0D0D0D" w:themeColor="text1" w:themeTint="F2"/>
          <w:sz w:val="24"/>
          <w:szCs w:val="24"/>
        </w:rPr>
      </w:pPr>
      <w:r w:rsidRPr="009916F3">
        <w:rPr>
          <w:rStyle w:val="Forte"/>
          <w:rFonts w:asciiTheme="majorHAnsi" w:hAnsiTheme="majorHAnsi" w:cs="Arial"/>
          <w:color w:val="0D0D0D" w:themeColor="text1" w:themeTint="F2"/>
          <w:sz w:val="24"/>
          <w:szCs w:val="24"/>
        </w:rPr>
        <w:t>Posso obter uma declaração de NÃO enquadramento da minha atividade na legislação de acesso ao patrimônio genético?</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t xml:space="preserve">Informa-se que não existe a previsão legal de emissão pelo </w:t>
      </w:r>
      <w:proofErr w:type="gramStart"/>
      <w:r w:rsidRPr="009916F3">
        <w:rPr>
          <w:rFonts w:asciiTheme="majorHAnsi" w:hAnsiTheme="majorHAnsi" w:cs="Arial"/>
          <w:color w:val="0D0D0D" w:themeColor="text1" w:themeTint="F2"/>
        </w:rPr>
        <w:t>CGen</w:t>
      </w:r>
      <w:proofErr w:type="gramEnd"/>
      <w:r w:rsidRPr="009916F3">
        <w:rPr>
          <w:rFonts w:asciiTheme="majorHAnsi" w:hAnsiTheme="majorHAnsi" w:cs="Arial"/>
          <w:color w:val="0D0D0D" w:themeColor="text1" w:themeTint="F2"/>
        </w:rPr>
        <w:t xml:space="preserve"> de “Declaração de NÃO acesso ao Patrimônio Genético”, “manifestação de anuência”, ou qualquer outro documento semelhante, cabendo ao usuário a partir das definições contidas no art. 2º da </w:t>
      </w:r>
      <w:r w:rsidR="008D42BB">
        <w:rPr>
          <w:rFonts w:asciiTheme="majorHAnsi" w:hAnsiTheme="majorHAnsi" w:cs="Arial"/>
          <w:color w:val="0D0D0D" w:themeColor="text1" w:themeTint="F2"/>
        </w:rPr>
        <w:t>Lei nº 13.123/2015</w:t>
      </w:r>
      <w:r w:rsidRPr="009916F3">
        <w:rPr>
          <w:rFonts w:asciiTheme="majorHAnsi" w:hAnsiTheme="majorHAnsi" w:cs="Arial"/>
          <w:color w:val="0D0D0D" w:themeColor="text1" w:themeTint="F2"/>
        </w:rPr>
        <w:t>, e do disposto no art. 107 do </w:t>
      </w:r>
      <w:r w:rsidR="008D42BB">
        <w:rPr>
          <w:rFonts w:asciiTheme="majorHAnsi" w:hAnsiTheme="majorHAnsi" w:cs="Arial"/>
          <w:color w:val="0D0D0D" w:themeColor="text1" w:themeTint="F2"/>
        </w:rPr>
        <w:t>Decreto nº 8.772/2016</w:t>
      </w:r>
      <w:r w:rsidRPr="009916F3">
        <w:rPr>
          <w:rFonts w:asciiTheme="majorHAnsi" w:hAnsiTheme="majorHAnsi" w:cs="Arial"/>
          <w:color w:val="0D0D0D" w:themeColor="text1" w:themeTint="F2"/>
        </w:rPr>
        <w:t>, e na Orientação Técnica CGen nº 9</w:t>
      </w:r>
      <w:r w:rsidR="00A17DCC">
        <w:rPr>
          <w:rFonts w:asciiTheme="majorHAnsi" w:hAnsiTheme="majorHAnsi" w:cs="Arial"/>
          <w:color w:val="0D0D0D" w:themeColor="text1" w:themeTint="F2"/>
        </w:rPr>
        <w:t>/</w:t>
      </w:r>
      <w:r w:rsidRPr="009916F3">
        <w:rPr>
          <w:rFonts w:asciiTheme="majorHAnsi" w:hAnsiTheme="majorHAnsi" w:cs="Arial"/>
          <w:color w:val="0D0D0D" w:themeColor="text1" w:themeTint="F2"/>
        </w:rPr>
        <w:t>2018, avaliar se as suas atividades enquadram-se no conceito de acesso ao patrimônio genético.</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p>
    <w:p w:rsidR="00F97FD6" w:rsidRPr="009916F3" w:rsidRDefault="00F97FD6" w:rsidP="009916F3">
      <w:pPr>
        <w:shd w:val="clear" w:color="auto" w:fill="FFFFFF"/>
        <w:spacing w:after="0" w:line="240" w:lineRule="auto"/>
        <w:rPr>
          <w:rFonts w:asciiTheme="majorHAnsi" w:hAnsiTheme="majorHAnsi" w:cs="Arial"/>
          <w:color w:val="0D0D0D" w:themeColor="text1" w:themeTint="F2"/>
          <w:sz w:val="24"/>
          <w:szCs w:val="24"/>
        </w:rPr>
      </w:pPr>
      <w:r w:rsidRPr="009916F3">
        <w:rPr>
          <w:rStyle w:val="Forte"/>
          <w:rFonts w:asciiTheme="majorHAnsi" w:hAnsiTheme="majorHAnsi" w:cs="Arial"/>
          <w:color w:val="0D0D0D" w:themeColor="text1" w:themeTint="F2"/>
          <w:sz w:val="24"/>
          <w:szCs w:val="24"/>
        </w:rPr>
        <w:t>Como serão tratadas as atividades realizadas entre 17 de novembro de 2015 e 06 de novembro de 2017?</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t>A fim de disciplinar o tratamento das atividades realizadas durante o período compreendido entre a data de entrada em vigor da </w:t>
      </w:r>
      <w:r w:rsidR="008D42BB">
        <w:rPr>
          <w:rFonts w:asciiTheme="majorHAnsi" w:hAnsiTheme="majorHAnsi" w:cs="Arial"/>
          <w:color w:val="0D0D0D" w:themeColor="text1" w:themeTint="F2"/>
        </w:rPr>
        <w:t>Lei nº 13.123/2015</w:t>
      </w:r>
      <w:r w:rsidRPr="009916F3">
        <w:rPr>
          <w:rFonts w:asciiTheme="majorHAnsi" w:hAnsiTheme="majorHAnsi" w:cs="Arial"/>
          <w:color w:val="0D0D0D" w:themeColor="text1" w:themeTint="F2"/>
        </w:rPr>
        <w:t> (17 de novembro de 2015) e a data da efetiva disponibilização do cadastro (06 de novembro de 2017), o art. 118 do </w:t>
      </w:r>
      <w:r w:rsidR="008D42BB">
        <w:rPr>
          <w:rFonts w:asciiTheme="majorHAnsi" w:hAnsiTheme="majorHAnsi" w:cs="Arial"/>
          <w:color w:val="0D0D0D" w:themeColor="text1" w:themeTint="F2"/>
        </w:rPr>
        <w:t>Decreto nº 8.772/2016</w:t>
      </w:r>
      <w:r w:rsidRPr="009916F3">
        <w:rPr>
          <w:rFonts w:asciiTheme="majorHAnsi" w:hAnsiTheme="majorHAnsi" w:cs="Arial"/>
          <w:color w:val="0D0D0D" w:themeColor="text1" w:themeTint="F2"/>
        </w:rPr>
        <w:t>, dispõe:</w:t>
      </w:r>
    </w:p>
    <w:p w:rsidR="00F97FD6" w:rsidRPr="009916F3" w:rsidRDefault="00A17DCC" w:rsidP="009916F3">
      <w:pPr>
        <w:pStyle w:val="NormalWeb"/>
        <w:shd w:val="clear" w:color="auto" w:fill="FFFFFF"/>
        <w:spacing w:before="0" w:beforeAutospacing="0" w:after="0" w:afterAutospacing="0"/>
        <w:rPr>
          <w:rFonts w:asciiTheme="majorHAnsi" w:hAnsiTheme="majorHAnsi" w:cs="Arial"/>
          <w:color w:val="0D0D0D" w:themeColor="text1" w:themeTint="F2"/>
        </w:rPr>
      </w:pPr>
      <w:r>
        <w:rPr>
          <w:rFonts w:asciiTheme="majorHAnsi" w:hAnsiTheme="majorHAnsi" w:cs="Arial"/>
          <w:color w:val="0D0D0D" w:themeColor="text1" w:themeTint="F2"/>
        </w:rPr>
        <w:t>“</w:t>
      </w:r>
      <w:r w:rsidR="00F97FD6" w:rsidRPr="009916F3">
        <w:rPr>
          <w:rFonts w:asciiTheme="majorHAnsi" w:hAnsiTheme="majorHAnsi" w:cs="Arial"/>
          <w:color w:val="0D0D0D" w:themeColor="text1" w:themeTint="F2"/>
        </w:rPr>
        <w:t xml:space="preserve">O usuário que requereu qualquer direito de propriedade intelectual, explorou economicamente produto acabado ou material reprodutivo, ou divulgou resultados, finais ou parciais, em meios científicos ou de comunicação, entre 17 de novembro de 2015 e a data de disponibilização do cadastro, deverá cadastrar as atividades de que trata o art. 12 da </w:t>
      </w:r>
      <w:r w:rsidR="008D42BB">
        <w:rPr>
          <w:rFonts w:asciiTheme="majorHAnsi" w:hAnsiTheme="majorHAnsi" w:cs="Arial"/>
          <w:color w:val="0D0D0D" w:themeColor="text1" w:themeTint="F2"/>
        </w:rPr>
        <w:t>Lei nº 13.123/2015</w:t>
      </w:r>
      <w:r w:rsidR="00F97FD6" w:rsidRPr="009916F3">
        <w:rPr>
          <w:rFonts w:asciiTheme="majorHAnsi" w:hAnsiTheme="majorHAnsi" w:cs="Arial"/>
          <w:color w:val="0D0D0D" w:themeColor="text1" w:themeTint="F2"/>
        </w:rPr>
        <w:t xml:space="preserve"> e notificar o produto acabado ou o material reprodutivo desenvolvido em decorrência do acesso.</w:t>
      </w:r>
      <w:r>
        <w:rPr>
          <w:rFonts w:asciiTheme="majorHAnsi" w:hAnsiTheme="majorHAnsi" w:cs="Arial"/>
          <w:color w:val="0D0D0D" w:themeColor="text1" w:themeTint="F2"/>
        </w:rPr>
        <w:t>”</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t>O § 1º deste mesmo art. 118 estabelece que “</w:t>
      </w:r>
      <w:r w:rsidRPr="009916F3">
        <w:rPr>
          <w:rStyle w:val="nfase"/>
          <w:rFonts w:asciiTheme="majorHAnsi" w:hAnsiTheme="majorHAnsi" w:cs="Arial"/>
          <w:i w:val="0"/>
          <w:color w:val="0D0D0D" w:themeColor="text1" w:themeTint="F2"/>
        </w:rPr>
        <w:t>o prazo para o cadastramento ou notificação de que trata o </w:t>
      </w:r>
      <w:r w:rsidRPr="009916F3">
        <w:rPr>
          <w:rStyle w:val="Forte"/>
          <w:rFonts w:asciiTheme="majorHAnsi" w:hAnsiTheme="majorHAnsi" w:cs="Arial"/>
          <w:b w:val="0"/>
          <w:i/>
          <w:iCs/>
          <w:color w:val="0D0D0D" w:themeColor="text1" w:themeTint="F2"/>
        </w:rPr>
        <w:t>caput</w:t>
      </w:r>
      <w:r w:rsidRPr="009916F3">
        <w:rPr>
          <w:rStyle w:val="nfase"/>
          <w:rFonts w:asciiTheme="majorHAnsi" w:hAnsiTheme="majorHAnsi" w:cs="Arial"/>
          <w:i w:val="0"/>
          <w:color w:val="0D0D0D" w:themeColor="text1" w:themeTint="F2"/>
        </w:rPr>
        <w:t xml:space="preserve"> será de </w:t>
      </w:r>
      <w:proofErr w:type="gramStart"/>
      <w:r w:rsidRPr="009916F3">
        <w:rPr>
          <w:rStyle w:val="nfase"/>
          <w:rFonts w:asciiTheme="majorHAnsi" w:hAnsiTheme="majorHAnsi" w:cs="Arial"/>
          <w:i w:val="0"/>
          <w:color w:val="0D0D0D" w:themeColor="text1" w:themeTint="F2"/>
        </w:rPr>
        <w:t>1</w:t>
      </w:r>
      <w:proofErr w:type="gramEnd"/>
      <w:r w:rsidRPr="009916F3">
        <w:rPr>
          <w:rStyle w:val="nfase"/>
          <w:rFonts w:asciiTheme="majorHAnsi" w:hAnsiTheme="majorHAnsi" w:cs="Arial"/>
          <w:i w:val="0"/>
          <w:color w:val="0D0D0D" w:themeColor="text1" w:themeTint="F2"/>
        </w:rPr>
        <w:t xml:space="preserve"> (um) ano, contado da data da disponibilização do cadastro pelo CGen</w:t>
      </w:r>
      <w:r w:rsidRPr="009916F3">
        <w:rPr>
          <w:rFonts w:asciiTheme="majorHAnsi" w:hAnsiTheme="majorHAnsi" w:cs="Arial"/>
          <w:color w:val="0D0D0D" w:themeColor="text1" w:themeTint="F2"/>
        </w:rPr>
        <w:t>”, ao passo que seu § 2º determina que “</w:t>
      </w:r>
      <w:r w:rsidRPr="009916F3">
        <w:rPr>
          <w:rStyle w:val="nfase"/>
          <w:rFonts w:asciiTheme="majorHAnsi" w:hAnsiTheme="majorHAnsi" w:cs="Arial"/>
          <w:i w:val="0"/>
          <w:color w:val="0D0D0D" w:themeColor="text1" w:themeTint="F2"/>
        </w:rPr>
        <w:t>Realizado o cadastramento ou notificação no prazo previsto, o usuário não estará sujeito a sanção administrativa</w:t>
      </w:r>
      <w:r w:rsidRPr="009916F3">
        <w:rPr>
          <w:rFonts w:asciiTheme="majorHAnsi" w:hAnsiTheme="majorHAnsi" w:cs="Arial"/>
          <w:color w:val="0D0D0D" w:themeColor="text1" w:themeTint="F2"/>
        </w:rPr>
        <w:t>”.</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t xml:space="preserve">Pelo fato da atividade de remessa não estar contemplada no art. 118, do Decreto n° 8.772, de 2016, as atividades que se enquadram na definição de “remessa” (art. 2º, inciso XIII da </w:t>
      </w:r>
      <w:r w:rsidR="008D42BB">
        <w:rPr>
          <w:rFonts w:asciiTheme="majorHAnsi" w:hAnsiTheme="majorHAnsi" w:cs="Arial"/>
          <w:color w:val="0D0D0D" w:themeColor="text1" w:themeTint="F2"/>
        </w:rPr>
        <w:t>Lei nº 13.123/2015</w:t>
      </w:r>
      <w:r w:rsidRPr="009916F3">
        <w:rPr>
          <w:rFonts w:asciiTheme="majorHAnsi" w:hAnsiTheme="majorHAnsi" w:cs="Arial"/>
          <w:color w:val="0D0D0D" w:themeColor="text1" w:themeTint="F2"/>
        </w:rPr>
        <w:t xml:space="preserve">) somente poderão ser realizadas após o cadastramento no </w:t>
      </w:r>
      <w:proofErr w:type="gramStart"/>
      <w:r w:rsidRPr="009916F3">
        <w:rPr>
          <w:rFonts w:asciiTheme="majorHAnsi" w:hAnsiTheme="majorHAnsi" w:cs="Arial"/>
          <w:color w:val="0D0D0D" w:themeColor="text1" w:themeTint="F2"/>
        </w:rPr>
        <w:t>SisGen</w:t>
      </w:r>
      <w:proofErr w:type="gramEnd"/>
      <w:r w:rsidRPr="009916F3">
        <w:rPr>
          <w:rFonts w:asciiTheme="majorHAnsi" w:hAnsiTheme="majorHAnsi" w:cs="Arial"/>
          <w:color w:val="0D0D0D" w:themeColor="text1" w:themeTint="F2"/>
        </w:rPr>
        <w:t>, pois é obrigatório o cadastramento prévio à remessa.</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t xml:space="preserve">As atividades a que se refere o art. 118 do </w:t>
      </w:r>
      <w:r w:rsidR="008D42BB">
        <w:rPr>
          <w:rFonts w:asciiTheme="majorHAnsi" w:hAnsiTheme="majorHAnsi" w:cs="Arial"/>
          <w:color w:val="0D0D0D" w:themeColor="text1" w:themeTint="F2"/>
        </w:rPr>
        <w:t>Decreto nº 8.772/2016</w:t>
      </w:r>
      <w:r w:rsidRPr="009916F3">
        <w:rPr>
          <w:rFonts w:asciiTheme="majorHAnsi" w:hAnsiTheme="majorHAnsi" w:cs="Arial"/>
          <w:color w:val="0D0D0D" w:themeColor="text1" w:themeTint="F2"/>
        </w:rPr>
        <w:t>, e que não se enquadrem em nenhuma das hipóteses em que a contagem do prazo para o cadastramento ainda não foi iniciada, dever</w:t>
      </w:r>
      <w:r w:rsidR="00A17DCC">
        <w:rPr>
          <w:rFonts w:asciiTheme="majorHAnsi" w:hAnsiTheme="majorHAnsi" w:cs="Arial"/>
          <w:color w:val="0D0D0D" w:themeColor="text1" w:themeTint="F2"/>
        </w:rPr>
        <w:t>ão ser cadastradas até o dia 06/11/</w:t>
      </w:r>
      <w:r w:rsidRPr="009916F3">
        <w:rPr>
          <w:rFonts w:asciiTheme="majorHAnsi" w:hAnsiTheme="majorHAnsi" w:cs="Arial"/>
          <w:color w:val="0D0D0D" w:themeColor="text1" w:themeTint="F2"/>
        </w:rPr>
        <w:t>2018.</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t xml:space="preserve">O Departamento de Apoio ao Conselho de Gestão do Patrimônio Genético realizou uma atualização, em </w:t>
      </w:r>
      <w:r w:rsidR="00A17DCC">
        <w:rPr>
          <w:rFonts w:asciiTheme="majorHAnsi" w:hAnsiTheme="majorHAnsi" w:cs="Arial"/>
          <w:color w:val="0D0D0D" w:themeColor="text1" w:themeTint="F2"/>
        </w:rPr>
        <w:t>01/11/</w:t>
      </w:r>
      <w:r w:rsidRPr="009916F3">
        <w:rPr>
          <w:rFonts w:asciiTheme="majorHAnsi" w:hAnsiTheme="majorHAnsi" w:cs="Arial"/>
          <w:color w:val="0D0D0D" w:themeColor="text1" w:themeTint="F2"/>
        </w:rPr>
        <w:t>2018, sobre os prazos para cadastramento das atividades, que está disponível no seguinte endereço eletrônico: www.mma.gov.br/patrimonio-genetico/conselho-de-gestao-do-patrimonio-genetico.html.</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lastRenderedPageBreak/>
        <w:t>Verifique se a atividade a ser cadastrada, enquadra-se em alguma das hipóteses em que a contagem do prazo para regularização ainda não foi iniciada, conforme indicado na Tabela “Prazos aplicáveis para cadastro de acesso ao PG ou CTA realizado entre 17/11/2015 e 05/11/2017 ou após 05/11/2017”.</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t> </w:t>
      </w:r>
    </w:p>
    <w:p w:rsidR="00F97FD6" w:rsidRPr="009916F3" w:rsidRDefault="00F97FD6" w:rsidP="009916F3">
      <w:pPr>
        <w:shd w:val="clear" w:color="auto" w:fill="FFFFFF"/>
        <w:spacing w:after="0" w:line="240" w:lineRule="auto"/>
        <w:rPr>
          <w:rFonts w:asciiTheme="majorHAnsi" w:hAnsiTheme="majorHAnsi" w:cs="Arial"/>
          <w:color w:val="0D0D0D" w:themeColor="text1" w:themeTint="F2"/>
          <w:sz w:val="24"/>
          <w:szCs w:val="24"/>
        </w:rPr>
      </w:pPr>
      <w:r w:rsidRPr="009916F3">
        <w:rPr>
          <w:rStyle w:val="Forte"/>
          <w:rFonts w:asciiTheme="majorHAnsi" w:hAnsiTheme="majorHAnsi" w:cs="Arial"/>
          <w:color w:val="0D0D0D" w:themeColor="text1" w:themeTint="F2"/>
          <w:sz w:val="24"/>
          <w:szCs w:val="24"/>
        </w:rPr>
        <w:t xml:space="preserve">Como serão tratadas as autorizações de acesso concedidas pelo </w:t>
      </w:r>
      <w:proofErr w:type="gramStart"/>
      <w:r w:rsidRPr="009916F3">
        <w:rPr>
          <w:rStyle w:val="Forte"/>
          <w:rFonts w:asciiTheme="majorHAnsi" w:hAnsiTheme="majorHAnsi" w:cs="Arial"/>
          <w:color w:val="0D0D0D" w:themeColor="text1" w:themeTint="F2"/>
          <w:sz w:val="24"/>
          <w:szCs w:val="24"/>
        </w:rPr>
        <w:t>CGen</w:t>
      </w:r>
      <w:proofErr w:type="gramEnd"/>
      <w:r w:rsidRPr="009916F3">
        <w:rPr>
          <w:rStyle w:val="Forte"/>
          <w:rFonts w:asciiTheme="majorHAnsi" w:hAnsiTheme="majorHAnsi" w:cs="Arial"/>
          <w:color w:val="0D0D0D" w:themeColor="text1" w:themeTint="F2"/>
          <w:sz w:val="24"/>
          <w:szCs w:val="24"/>
        </w:rPr>
        <w:t xml:space="preserve">, IBAMA, CNPq ou IPHAN durante a vigência da </w:t>
      </w:r>
      <w:proofErr w:type="spellStart"/>
      <w:r w:rsidRPr="009916F3">
        <w:rPr>
          <w:rStyle w:val="Forte"/>
          <w:rFonts w:asciiTheme="majorHAnsi" w:hAnsiTheme="majorHAnsi" w:cs="Arial"/>
          <w:color w:val="0D0D0D" w:themeColor="text1" w:themeTint="F2"/>
          <w:sz w:val="24"/>
          <w:szCs w:val="24"/>
        </w:rPr>
        <w:t>M.P.</w:t>
      </w:r>
      <w:proofErr w:type="spellEnd"/>
      <w:r w:rsidRPr="009916F3">
        <w:rPr>
          <w:rStyle w:val="Forte"/>
          <w:rFonts w:asciiTheme="majorHAnsi" w:hAnsiTheme="majorHAnsi" w:cs="Arial"/>
          <w:color w:val="0D0D0D" w:themeColor="text1" w:themeTint="F2"/>
          <w:sz w:val="24"/>
          <w:szCs w:val="24"/>
        </w:rPr>
        <w:t xml:space="preserve"> nº 2.186-16, de 2001?</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t>Informa-se que, por expressa disposição legal o art. 43 da </w:t>
      </w:r>
      <w:r w:rsidR="008D42BB">
        <w:rPr>
          <w:rFonts w:asciiTheme="majorHAnsi" w:hAnsiTheme="majorHAnsi" w:cs="Arial"/>
          <w:color w:val="0D0D0D" w:themeColor="text1" w:themeTint="F2"/>
        </w:rPr>
        <w:t>Lei nº 13.123/2015</w:t>
      </w:r>
      <w:r w:rsidRPr="009916F3">
        <w:rPr>
          <w:rFonts w:asciiTheme="majorHAnsi" w:hAnsiTheme="majorHAnsi" w:cs="Arial"/>
          <w:color w:val="0D0D0D" w:themeColor="text1" w:themeTint="F2"/>
        </w:rPr>
        <w:t xml:space="preserve">, determina que “Permanecem válidos os atos e decisões do </w:t>
      </w:r>
      <w:proofErr w:type="gramStart"/>
      <w:r w:rsidRPr="009916F3">
        <w:rPr>
          <w:rFonts w:asciiTheme="majorHAnsi" w:hAnsiTheme="majorHAnsi" w:cs="Arial"/>
          <w:color w:val="0D0D0D" w:themeColor="text1" w:themeTint="F2"/>
        </w:rPr>
        <w:t>CGen</w:t>
      </w:r>
      <w:proofErr w:type="gramEnd"/>
      <w:r w:rsidRPr="009916F3">
        <w:rPr>
          <w:rFonts w:asciiTheme="majorHAnsi" w:hAnsiTheme="majorHAnsi" w:cs="Arial"/>
          <w:color w:val="0D0D0D" w:themeColor="text1" w:themeTint="F2"/>
        </w:rPr>
        <w:t xml:space="preserve"> referentes a atividades de acesso ou de remessa de patrimônio genético ou de conhecimento tradicional associado que geraram produtos ou processos em comercialização no mercado e que já foram objeto de regularização antes da entrada em vigor desta Lei”. Adicionalmente, o § 1º do art. 43 da </w:t>
      </w:r>
      <w:r w:rsidR="008D42BB">
        <w:rPr>
          <w:rFonts w:asciiTheme="majorHAnsi" w:hAnsiTheme="majorHAnsi" w:cs="Arial"/>
          <w:color w:val="0D0D0D" w:themeColor="text1" w:themeTint="F2"/>
        </w:rPr>
        <w:t>Lei nº 13.123/2015</w:t>
      </w:r>
      <w:r w:rsidRPr="009916F3">
        <w:rPr>
          <w:rFonts w:asciiTheme="majorHAnsi" w:hAnsiTheme="majorHAnsi" w:cs="Arial"/>
          <w:color w:val="0D0D0D" w:themeColor="text1" w:themeTint="F2"/>
        </w:rPr>
        <w:t xml:space="preserve">, dispõe que “Caberá ao </w:t>
      </w:r>
      <w:proofErr w:type="gramStart"/>
      <w:r w:rsidRPr="009916F3">
        <w:rPr>
          <w:rFonts w:asciiTheme="majorHAnsi" w:hAnsiTheme="majorHAnsi" w:cs="Arial"/>
          <w:color w:val="0D0D0D" w:themeColor="text1" w:themeTint="F2"/>
        </w:rPr>
        <w:t>CGen</w:t>
      </w:r>
      <w:proofErr w:type="gramEnd"/>
      <w:r w:rsidRPr="009916F3">
        <w:rPr>
          <w:rFonts w:asciiTheme="majorHAnsi" w:hAnsiTheme="majorHAnsi" w:cs="Arial"/>
          <w:color w:val="0D0D0D" w:themeColor="text1" w:themeTint="F2"/>
        </w:rPr>
        <w:t xml:space="preserve"> cadastrar no sistema as autorizações já emitidas”.</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t>Portanto, as pesquisas autorizadas na v</w:t>
      </w:r>
      <w:r w:rsidR="00A17DCC">
        <w:rPr>
          <w:rFonts w:asciiTheme="majorHAnsi" w:hAnsiTheme="majorHAnsi" w:cs="Arial"/>
          <w:color w:val="0D0D0D" w:themeColor="text1" w:themeTint="F2"/>
        </w:rPr>
        <w:t xml:space="preserve">igência da </w:t>
      </w:r>
      <w:proofErr w:type="spellStart"/>
      <w:r w:rsidR="00A17DCC">
        <w:rPr>
          <w:rFonts w:asciiTheme="majorHAnsi" w:hAnsiTheme="majorHAnsi" w:cs="Arial"/>
          <w:color w:val="0D0D0D" w:themeColor="text1" w:themeTint="F2"/>
        </w:rPr>
        <w:t>M.P.</w:t>
      </w:r>
      <w:proofErr w:type="spellEnd"/>
      <w:r w:rsidR="00A17DCC">
        <w:rPr>
          <w:rFonts w:asciiTheme="majorHAnsi" w:hAnsiTheme="majorHAnsi" w:cs="Arial"/>
          <w:color w:val="0D0D0D" w:themeColor="text1" w:themeTint="F2"/>
        </w:rPr>
        <w:t xml:space="preserve"> nº 2.186-16/</w:t>
      </w:r>
      <w:r w:rsidRPr="009916F3">
        <w:rPr>
          <w:rFonts w:asciiTheme="majorHAnsi" w:hAnsiTheme="majorHAnsi" w:cs="Arial"/>
          <w:color w:val="0D0D0D" w:themeColor="text1" w:themeTint="F2"/>
        </w:rPr>
        <w:t xml:space="preserve">2001, pelo </w:t>
      </w:r>
      <w:proofErr w:type="gramStart"/>
      <w:r w:rsidRPr="009916F3">
        <w:rPr>
          <w:rFonts w:asciiTheme="majorHAnsi" w:hAnsiTheme="majorHAnsi" w:cs="Arial"/>
          <w:color w:val="0D0D0D" w:themeColor="text1" w:themeTint="F2"/>
        </w:rPr>
        <w:t>CGen</w:t>
      </w:r>
      <w:proofErr w:type="gramEnd"/>
      <w:r w:rsidRPr="009916F3">
        <w:rPr>
          <w:rFonts w:asciiTheme="majorHAnsi" w:hAnsiTheme="majorHAnsi" w:cs="Arial"/>
          <w:color w:val="0D0D0D" w:themeColor="text1" w:themeTint="F2"/>
        </w:rPr>
        <w:t xml:space="preserve"> ou pelas instituições credenciadas (CNPq, IBAMA e IPHAN) serão cadastradas pela Secretaria Executiva do CGen.</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t>Conforme dispõe a </w:t>
      </w:r>
      <w:r w:rsidR="00A17DCC">
        <w:rPr>
          <w:rFonts w:asciiTheme="majorHAnsi" w:hAnsiTheme="majorHAnsi" w:cs="Arial"/>
          <w:color w:val="0D0D0D" w:themeColor="text1" w:themeTint="F2"/>
        </w:rPr>
        <w:t xml:space="preserve">Orientação Técnica </w:t>
      </w:r>
      <w:proofErr w:type="gramStart"/>
      <w:r w:rsidR="00A17DCC">
        <w:rPr>
          <w:rFonts w:asciiTheme="majorHAnsi" w:hAnsiTheme="majorHAnsi" w:cs="Arial"/>
          <w:color w:val="0D0D0D" w:themeColor="text1" w:themeTint="F2"/>
        </w:rPr>
        <w:t>CGen</w:t>
      </w:r>
      <w:proofErr w:type="gramEnd"/>
      <w:r w:rsidR="00A17DCC">
        <w:rPr>
          <w:rFonts w:asciiTheme="majorHAnsi" w:hAnsiTheme="majorHAnsi" w:cs="Arial"/>
          <w:color w:val="0D0D0D" w:themeColor="text1" w:themeTint="F2"/>
        </w:rPr>
        <w:t xml:space="preserve"> nº 4/</w:t>
      </w:r>
      <w:r w:rsidRPr="00A17DCC">
        <w:rPr>
          <w:rFonts w:asciiTheme="majorHAnsi" w:hAnsiTheme="majorHAnsi" w:cs="Arial"/>
          <w:color w:val="0D0D0D" w:themeColor="text1" w:themeTint="F2"/>
        </w:rPr>
        <w:t>2018</w:t>
      </w:r>
      <w:r w:rsidRPr="009916F3">
        <w:rPr>
          <w:rFonts w:asciiTheme="majorHAnsi" w:hAnsiTheme="majorHAnsi" w:cs="Arial"/>
          <w:color w:val="0D0D0D" w:themeColor="text1" w:themeTint="F2"/>
        </w:rPr>
        <w:t>, a </w:t>
      </w:r>
      <w:r w:rsidRPr="009916F3">
        <w:rPr>
          <w:rStyle w:val="Forte"/>
          <w:rFonts w:asciiTheme="majorHAnsi" w:hAnsiTheme="majorHAnsi" w:cs="Arial"/>
          <w:b w:val="0"/>
          <w:color w:val="0D0D0D" w:themeColor="text1" w:themeTint="F2"/>
        </w:rPr>
        <w:t>obrigação de adequação não se aplica às autorizações</w:t>
      </w:r>
      <w:r w:rsidRPr="009916F3">
        <w:rPr>
          <w:rFonts w:asciiTheme="majorHAnsi" w:hAnsiTheme="majorHAnsi" w:cs="Arial"/>
          <w:color w:val="0D0D0D" w:themeColor="text1" w:themeTint="F2"/>
        </w:rPr>
        <w:t> de acesso ao patrimônio genético ou ao conhecimento tradicional associado </w:t>
      </w:r>
      <w:r w:rsidRPr="009916F3">
        <w:rPr>
          <w:rStyle w:val="Forte"/>
          <w:rFonts w:asciiTheme="majorHAnsi" w:hAnsiTheme="majorHAnsi" w:cs="Arial"/>
          <w:b w:val="0"/>
          <w:color w:val="0D0D0D" w:themeColor="text1" w:themeTint="F2"/>
        </w:rPr>
        <w:t>que tenham expirado</w:t>
      </w:r>
      <w:r w:rsidRPr="009916F3">
        <w:rPr>
          <w:rFonts w:asciiTheme="majorHAnsi" w:hAnsiTheme="majorHAnsi" w:cs="Arial"/>
          <w:color w:val="0D0D0D" w:themeColor="text1" w:themeTint="F2"/>
        </w:rPr>
        <w:t xml:space="preserve"> até a data de entrada em vigor da </w:t>
      </w:r>
      <w:r w:rsidR="008D42BB">
        <w:rPr>
          <w:rFonts w:asciiTheme="majorHAnsi" w:hAnsiTheme="majorHAnsi" w:cs="Arial"/>
          <w:color w:val="0D0D0D" w:themeColor="text1" w:themeTint="F2"/>
        </w:rPr>
        <w:t>Lei nº 13.123/2015</w:t>
      </w:r>
      <w:r w:rsidRPr="009916F3">
        <w:rPr>
          <w:rFonts w:asciiTheme="majorHAnsi" w:hAnsiTheme="majorHAnsi" w:cs="Arial"/>
          <w:color w:val="0D0D0D" w:themeColor="text1" w:themeTint="F2"/>
        </w:rPr>
        <w:t>.</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t xml:space="preserve">Adicionalmente, a </w:t>
      </w:r>
      <w:proofErr w:type="spellStart"/>
      <w:r w:rsidRPr="009916F3">
        <w:rPr>
          <w:rFonts w:asciiTheme="majorHAnsi" w:hAnsiTheme="majorHAnsi" w:cs="Arial"/>
          <w:color w:val="0D0D0D" w:themeColor="text1" w:themeTint="F2"/>
        </w:rPr>
        <w:t>O.T.</w:t>
      </w:r>
      <w:proofErr w:type="spellEnd"/>
      <w:r w:rsidRPr="009916F3">
        <w:rPr>
          <w:rFonts w:asciiTheme="majorHAnsi" w:hAnsiTheme="majorHAnsi" w:cs="Arial"/>
          <w:color w:val="0D0D0D" w:themeColor="text1" w:themeTint="F2"/>
        </w:rPr>
        <w:t xml:space="preserve"> nº 4 reitera o disposto no art. 43 da </w:t>
      </w:r>
      <w:r w:rsidR="008D42BB">
        <w:rPr>
          <w:rFonts w:asciiTheme="majorHAnsi" w:hAnsiTheme="majorHAnsi" w:cs="Arial"/>
          <w:color w:val="0D0D0D" w:themeColor="text1" w:themeTint="F2"/>
        </w:rPr>
        <w:t>Lei nº 13.123/2015</w:t>
      </w:r>
      <w:r w:rsidRPr="009916F3">
        <w:rPr>
          <w:rFonts w:asciiTheme="majorHAnsi" w:hAnsiTheme="majorHAnsi" w:cs="Arial"/>
          <w:color w:val="0D0D0D" w:themeColor="text1" w:themeTint="F2"/>
        </w:rPr>
        <w:t xml:space="preserve">, prevendo que a realização do cadastro de acesso será realizada pelo </w:t>
      </w:r>
      <w:proofErr w:type="gramStart"/>
      <w:r w:rsidRPr="009916F3">
        <w:rPr>
          <w:rFonts w:asciiTheme="majorHAnsi" w:hAnsiTheme="majorHAnsi" w:cs="Arial"/>
          <w:color w:val="0D0D0D" w:themeColor="text1" w:themeTint="F2"/>
        </w:rPr>
        <w:t>CGen</w:t>
      </w:r>
      <w:proofErr w:type="gramEnd"/>
      <w:r w:rsidRPr="009916F3">
        <w:rPr>
          <w:rFonts w:asciiTheme="majorHAnsi" w:hAnsiTheme="majorHAnsi" w:cs="Arial"/>
          <w:color w:val="0D0D0D" w:themeColor="text1" w:themeTint="F2"/>
        </w:rPr>
        <w:t xml:space="preserve"> e a obrigação de cadastrar a atividade será considerada cumprida pelo usuário quando o CGen realizar o cadastro.</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t>Todas as autorizações emitidas pelo Instituto Nacional do Patrimônio Histórico e Artístico Nacional (IPHAN) e pelo Conselho de Gestão do Patrimônio Genético (</w:t>
      </w:r>
      <w:proofErr w:type="gramStart"/>
      <w:r w:rsidRPr="009916F3">
        <w:rPr>
          <w:rFonts w:asciiTheme="majorHAnsi" w:hAnsiTheme="majorHAnsi" w:cs="Arial"/>
          <w:color w:val="0D0D0D" w:themeColor="text1" w:themeTint="F2"/>
        </w:rPr>
        <w:t>CGen</w:t>
      </w:r>
      <w:proofErr w:type="gramEnd"/>
      <w:r w:rsidRPr="009916F3">
        <w:rPr>
          <w:rFonts w:asciiTheme="majorHAnsi" w:hAnsiTheme="majorHAnsi" w:cs="Arial"/>
          <w:color w:val="0D0D0D" w:themeColor="text1" w:themeTint="F2"/>
        </w:rPr>
        <w:t>) já foram cadastradas no Sistema Nacional de Gestão do Patrimônio Genético e do Conhecimento Tradicional Associado (SisGen) pela Secretaria-Executiva do CGen.</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t>Algumas das autorizações emitidas pelo Instituto Brasileiro do Meio Ambiente e dos Recursos Naturais Renováveis (IBAMA) e pelo Conselho Nacional de Desenvolvimento Científico e Tecnológico (CNPq) ainda não foram cadastradas.</w:t>
      </w:r>
    </w:p>
    <w:p w:rsidR="00F97FD6" w:rsidRPr="009916F3" w:rsidRDefault="00F97FD6" w:rsidP="009916F3">
      <w:pPr>
        <w:pStyle w:val="NormalWeb"/>
        <w:shd w:val="clear" w:color="auto" w:fill="FFFFFF"/>
        <w:spacing w:before="0" w:beforeAutospacing="0" w:after="0" w:afterAutospacing="0"/>
        <w:rPr>
          <w:rFonts w:asciiTheme="majorHAnsi" w:hAnsiTheme="majorHAnsi" w:cs="Arial"/>
          <w:color w:val="0D0D0D" w:themeColor="text1" w:themeTint="F2"/>
        </w:rPr>
      </w:pPr>
      <w:r w:rsidRPr="009916F3">
        <w:rPr>
          <w:rFonts w:asciiTheme="majorHAnsi" w:hAnsiTheme="majorHAnsi" w:cs="Arial"/>
          <w:color w:val="0D0D0D" w:themeColor="text1" w:themeTint="F2"/>
        </w:rPr>
        <w:t>A </w:t>
      </w:r>
      <w:r w:rsidRPr="00A17DCC">
        <w:rPr>
          <w:rFonts w:asciiTheme="majorHAnsi" w:hAnsiTheme="majorHAnsi" w:cs="Arial"/>
          <w:color w:val="0D0D0D" w:themeColor="text1" w:themeTint="F2"/>
        </w:rPr>
        <w:t xml:space="preserve">Orientação Técnica </w:t>
      </w:r>
      <w:proofErr w:type="gramStart"/>
      <w:r w:rsidRPr="00A17DCC">
        <w:rPr>
          <w:rFonts w:asciiTheme="majorHAnsi" w:hAnsiTheme="majorHAnsi" w:cs="Arial"/>
          <w:color w:val="0D0D0D" w:themeColor="text1" w:themeTint="F2"/>
        </w:rPr>
        <w:t>CGen</w:t>
      </w:r>
      <w:proofErr w:type="gramEnd"/>
      <w:r w:rsidRPr="00A17DCC">
        <w:rPr>
          <w:rFonts w:asciiTheme="majorHAnsi" w:hAnsiTheme="majorHAnsi" w:cs="Arial"/>
          <w:color w:val="0D0D0D" w:themeColor="text1" w:themeTint="F2"/>
        </w:rPr>
        <w:t xml:space="preserve"> nº 10</w:t>
      </w:r>
      <w:r w:rsidR="00A17DCC">
        <w:rPr>
          <w:rFonts w:asciiTheme="majorHAnsi" w:hAnsiTheme="majorHAnsi" w:cs="Arial"/>
          <w:color w:val="0D0D0D" w:themeColor="text1" w:themeTint="F2"/>
        </w:rPr>
        <w:t>/</w:t>
      </w:r>
      <w:r w:rsidRPr="00A17DCC">
        <w:rPr>
          <w:rFonts w:asciiTheme="majorHAnsi" w:hAnsiTheme="majorHAnsi" w:cs="Arial"/>
          <w:color w:val="0D0D0D" w:themeColor="text1" w:themeTint="F2"/>
        </w:rPr>
        <w:t>2018</w:t>
      </w:r>
      <w:r w:rsidRPr="009916F3">
        <w:rPr>
          <w:rFonts w:asciiTheme="majorHAnsi" w:hAnsiTheme="majorHAnsi" w:cs="Arial"/>
          <w:color w:val="0D0D0D" w:themeColor="text1" w:themeTint="F2"/>
        </w:rPr>
        <w:t xml:space="preserve">, determina que, para os cadastros de atividade de acesso ou notificação de produto que necessite do número do cadastro da autorização emitida pelo IBAMA ou pelo CNPq durante a vigência da </w:t>
      </w:r>
      <w:proofErr w:type="spellStart"/>
      <w:r w:rsidRPr="009916F3">
        <w:rPr>
          <w:rFonts w:asciiTheme="majorHAnsi" w:hAnsiTheme="majorHAnsi" w:cs="Arial"/>
          <w:color w:val="0D0D0D" w:themeColor="text1" w:themeTint="F2"/>
        </w:rPr>
        <w:t>M.P.</w:t>
      </w:r>
      <w:proofErr w:type="spellEnd"/>
      <w:r w:rsidRPr="009916F3">
        <w:rPr>
          <w:rFonts w:asciiTheme="majorHAnsi" w:hAnsiTheme="majorHAnsi" w:cs="Arial"/>
          <w:color w:val="0D0D0D" w:themeColor="text1" w:themeTint="F2"/>
        </w:rPr>
        <w:t xml:space="preserve"> nº 2.186-16, de 2001, a contagem dos prazos de 1 (um) ano previstos na </w:t>
      </w:r>
      <w:r w:rsidR="008D42BB">
        <w:rPr>
          <w:rFonts w:asciiTheme="majorHAnsi" w:hAnsiTheme="majorHAnsi" w:cs="Arial"/>
          <w:color w:val="0D0D0D" w:themeColor="text1" w:themeTint="F2"/>
        </w:rPr>
        <w:t>Lei nº 13.123/2015</w:t>
      </w:r>
      <w:r w:rsidRPr="009916F3">
        <w:rPr>
          <w:rFonts w:asciiTheme="majorHAnsi" w:hAnsiTheme="majorHAnsi" w:cs="Arial"/>
          <w:color w:val="0D0D0D" w:themeColor="text1" w:themeTint="F2"/>
        </w:rPr>
        <w:t xml:space="preserve"> e no </w:t>
      </w:r>
      <w:r w:rsidR="008D42BB">
        <w:rPr>
          <w:rFonts w:asciiTheme="majorHAnsi" w:hAnsiTheme="majorHAnsi" w:cs="Arial"/>
          <w:color w:val="0D0D0D" w:themeColor="text1" w:themeTint="F2"/>
        </w:rPr>
        <w:t>Decreto nº 8.772/2016</w:t>
      </w:r>
      <w:r w:rsidRPr="009916F3">
        <w:rPr>
          <w:rFonts w:asciiTheme="majorHAnsi" w:hAnsiTheme="majorHAnsi" w:cs="Arial"/>
          <w:color w:val="0D0D0D" w:themeColor="text1" w:themeTint="F2"/>
        </w:rPr>
        <w:t>, somente será iniciada</w:t>
      </w:r>
      <w:r w:rsidRPr="009916F3">
        <w:rPr>
          <w:rStyle w:val="Forte"/>
          <w:rFonts w:asciiTheme="majorHAnsi" w:hAnsiTheme="majorHAnsi" w:cs="Arial"/>
          <w:color w:val="0D0D0D" w:themeColor="text1" w:themeTint="F2"/>
        </w:rPr>
        <w:t> </w:t>
      </w:r>
      <w:r w:rsidRPr="00A17DCC">
        <w:rPr>
          <w:rStyle w:val="Forte"/>
          <w:rFonts w:asciiTheme="majorHAnsi" w:hAnsiTheme="majorHAnsi" w:cs="Arial"/>
          <w:b w:val="0"/>
          <w:color w:val="0D0D0D" w:themeColor="text1" w:themeTint="F2"/>
        </w:rPr>
        <w:t>após</w:t>
      </w:r>
      <w:r w:rsidRPr="009916F3">
        <w:rPr>
          <w:rFonts w:asciiTheme="majorHAnsi" w:hAnsiTheme="majorHAnsi" w:cs="Arial"/>
          <w:color w:val="0D0D0D" w:themeColor="text1" w:themeTint="F2"/>
        </w:rPr>
        <w:t> a publicação de ato oficial do Secretário-Executivo do CGen que indique a disponibilização das funcionalidades necessárias no SisGen.</w:t>
      </w:r>
    </w:p>
    <w:p w:rsidR="00A17DCC" w:rsidRDefault="00A17DCC" w:rsidP="009916F3">
      <w:pPr>
        <w:spacing w:after="0" w:line="240" w:lineRule="auto"/>
        <w:rPr>
          <w:rStyle w:val="Forte"/>
          <w:rFonts w:asciiTheme="majorHAnsi" w:hAnsiTheme="majorHAnsi" w:cs="Arial"/>
          <w:color w:val="0D0D0D" w:themeColor="text1" w:themeTint="F2"/>
          <w:sz w:val="24"/>
          <w:szCs w:val="24"/>
          <w:shd w:val="clear" w:color="auto" w:fill="FFFFFF"/>
        </w:rPr>
      </w:pPr>
    </w:p>
    <w:p w:rsidR="00F97FD6" w:rsidRPr="009916F3" w:rsidRDefault="00F97FD6" w:rsidP="009916F3">
      <w:pPr>
        <w:spacing w:after="0" w:line="240" w:lineRule="auto"/>
        <w:rPr>
          <w:rFonts w:asciiTheme="majorHAnsi" w:eastAsia="Times New Roman" w:hAnsiTheme="majorHAnsi" w:cs="Arial"/>
          <w:color w:val="0D0D0D" w:themeColor="text1" w:themeTint="F2"/>
          <w:sz w:val="24"/>
          <w:szCs w:val="24"/>
          <w:lang w:eastAsia="pt-BR"/>
        </w:rPr>
      </w:pPr>
      <w:r w:rsidRPr="00A17DCC">
        <w:rPr>
          <w:rStyle w:val="Forte"/>
          <w:rFonts w:asciiTheme="majorHAnsi" w:hAnsiTheme="majorHAnsi" w:cs="Arial"/>
          <w:color w:val="0D0D0D" w:themeColor="text1" w:themeTint="F2"/>
          <w:sz w:val="24"/>
          <w:szCs w:val="24"/>
          <w:shd w:val="clear" w:color="auto" w:fill="FFFFFF"/>
        </w:rPr>
        <w:t>Se o pesquisador, na época da sua iniciação científica/mestrado/doutorado, era de outra instituição, como deve fazer a regularização de sua pesquisa?</w:t>
      </w:r>
      <w:r w:rsidRPr="00A17DCC">
        <w:rPr>
          <w:rFonts w:asciiTheme="majorHAnsi" w:hAnsiTheme="majorHAnsi" w:cs="Arial"/>
          <w:color w:val="0D0D0D" w:themeColor="text1" w:themeTint="F2"/>
          <w:sz w:val="24"/>
          <w:szCs w:val="24"/>
        </w:rPr>
        <w:br/>
      </w:r>
      <w:r w:rsidRPr="009916F3">
        <w:rPr>
          <w:rFonts w:asciiTheme="majorHAnsi" w:hAnsiTheme="majorHAnsi" w:cs="Arial"/>
          <w:color w:val="0D0D0D" w:themeColor="text1" w:themeTint="F2"/>
          <w:sz w:val="24"/>
          <w:szCs w:val="24"/>
          <w:shd w:val="clear" w:color="auto" w:fill="FFFFFF"/>
        </w:rPr>
        <w:t xml:space="preserve">É recomendável, primeiramente, entrar em contato com a instituição para verificar quais são os procedimentos adotados. A instituição pode decidir realizar ela própria estes cadastros, por meio do representante legal, ou deixar a cargo do usuário. Neste último caso, considerando que o usuário pode se vincular a mais de uma instituição no </w:t>
      </w:r>
      <w:proofErr w:type="gramStart"/>
      <w:r w:rsidRPr="009916F3">
        <w:rPr>
          <w:rFonts w:asciiTheme="majorHAnsi" w:hAnsiTheme="majorHAnsi" w:cs="Arial"/>
          <w:color w:val="0D0D0D" w:themeColor="text1" w:themeTint="F2"/>
          <w:sz w:val="24"/>
          <w:szCs w:val="24"/>
          <w:shd w:val="clear" w:color="auto" w:fill="FFFFFF"/>
        </w:rPr>
        <w:t>SisGen</w:t>
      </w:r>
      <w:proofErr w:type="gramEnd"/>
      <w:r w:rsidRPr="009916F3">
        <w:rPr>
          <w:rFonts w:asciiTheme="majorHAnsi" w:hAnsiTheme="majorHAnsi" w:cs="Arial"/>
          <w:color w:val="0D0D0D" w:themeColor="text1" w:themeTint="F2"/>
          <w:sz w:val="24"/>
          <w:szCs w:val="24"/>
          <w:shd w:val="clear" w:color="auto" w:fill="FFFFFF"/>
        </w:rPr>
        <w:t>, este se vinculará a instituição/universidade onde realizou seu projeto e se regularizará, cadastrando o acesso realizado na época. Lembrando que a regularização é para acessos realizados entre 30/06/2000 e 17/11/2015 de</w:t>
      </w:r>
      <w:r w:rsidR="00A17DCC">
        <w:rPr>
          <w:rFonts w:asciiTheme="majorHAnsi" w:hAnsiTheme="majorHAnsi" w:cs="Arial"/>
          <w:color w:val="0D0D0D" w:themeColor="text1" w:themeTint="F2"/>
          <w:sz w:val="24"/>
          <w:szCs w:val="24"/>
          <w:shd w:val="clear" w:color="auto" w:fill="FFFFFF"/>
        </w:rPr>
        <w:t xml:space="preserve"> acordo com a </w:t>
      </w:r>
      <w:proofErr w:type="spellStart"/>
      <w:r w:rsidR="00A17DCC">
        <w:rPr>
          <w:rFonts w:asciiTheme="majorHAnsi" w:hAnsiTheme="majorHAnsi" w:cs="Arial"/>
          <w:color w:val="0D0D0D" w:themeColor="text1" w:themeTint="F2"/>
          <w:sz w:val="24"/>
          <w:szCs w:val="24"/>
          <w:shd w:val="clear" w:color="auto" w:fill="FFFFFF"/>
        </w:rPr>
        <w:t>M.P.</w:t>
      </w:r>
      <w:proofErr w:type="spellEnd"/>
      <w:r w:rsidR="00A17DCC">
        <w:rPr>
          <w:rFonts w:asciiTheme="majorHAnsi" w:hAnsiTheme="majorHAnsi" w:cs="Arial"/>
          <w:color w:val="0D0D0D" w:themeColor="text1" w:themeTint="F2"/>
          <w:sz w:val="24"/>
          <w:szCs w:val="24"/>
          <w:shd w:val="clear" w:color="auto" w:fill="FFFFFF"/>
        </w:rPr>
        <w:t xml:space="preserve"> nº 2.186/</w:t>
      </w:r>
      <w:r w:rsidRPr="009916F3">
        <w:rPr>
          <w:rFonts w:asciiTheme="majorHAnsi" w:hAnsiTheme="majorHAnsi" w:cs="Arial"/>
          <w:color w:val="0D0D0D" w:themeColor="text1" w:themeTint="F2"/>
          <w:sz w:val="24"/>
          <w:szCs w:val="24"/>
          <w:shd w:val="clear" w:color="auto" w:fill="FFFFFF"/>
        </w:rPr>
        <w:t xml:space="preserve">2001. Ou seja, o pesquisador terá dois vínculos institucionais, aquele com a instituição na qual realizou atividade durante </w:t>
      </w:r>
      <w:r w:rsidR="00A17DCC">
        <w:rPr>
          <w:rFonts w:asciiTheme="majorHAnsi" w:hAnsiTheme="majorHAnsi" w:cs="Arial"/>
          <w:color w:val="0D0D0D" w:themeColor="text1" w:themeTint="F2"/>
          <w:sz w:val="24"/>
          <w:szCs w:val="24"/>
          <w:shd w:val="clear" w:color="auto" w:fill="FFFFFF"/>
        </w:rPr>
        <w:t xml:space="preserve">a vigência da </w:t>
      </w:r>
      <w:proofErr w:type="spellStart"/>
      <w:r w:rsidR="00A17DCC">
        <w:rPr>
          <w:rFonts w:asciiTheme="majorHAnsi" w:hAnsiTheme="majorHAnsi" w:cs="Arial"/>
          <w:color w:val="0D0D0D" w:themeColor="text1" w:themeTint="F2"/>
          <w:sz w:val="24"/>
          <w:szCs w:val="24"/>
          <w:shd w:val="clear" w:color="auto" w:fill="FFFFFF"/>
        </w:rPr>
        <w:t>M.P.</w:t>
      </w:r>
      <w:proofErr w:type="spellEnd"/>
      <w:r w:rsidR="00A17DCC">
        <w:rPr>
          <w:rFonts w:asciiTheme="majorHAnsi" w:hAnsiTheme="majorHAnsi" w:cs="Arial"/>
          <w:color w:val="0D0D0D" w:themeColor="text1" w:themeTint="F2"/>
          <w:sz w:val="24"/>
          <w:szCs w:val="24"/>
          <w:shd w:val="clear" w:color="auto" w:fill="FFFFFF"/>
        </w:rPr>
        <w:t xml:space="preserve"> nº 2.186/</w:t>
      </w:r>
      <w:r w:rsidRPr="009916F3">
        <w:rPr>
          <w:rFonts w:asciiTheme="majorHAnsi" w:hAnsiTheme="majorHAnsi" w:cs="Arial"/>
          <w:color w:val="0D0D0D" w:themeColor="text1" w:themeTint="F2"/>
          <w:sz w:val="24"/>
          <w:szCs w:val="24"/>
          <w:shd w:val="clear" w:color="auto" w:fill="FFFFFF"/>
        </w:rPr>
        <w:t>2001, e aquele com a instituição em que está no momento.</w:t>
      </w:r>
    </w:p>
    <w:sectPr w:rsidR="00F97FD6" w:rsidRPr="009916F3" w:rsidSect="00E167F3">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drawingGridHorizontalSpacing w:val="110"/>
  <w:displayHorizontalDrawingGridEvery w:val="2"/>
  <w:characterSpacingControl w:val="doNotCompress"/>
  <w:compat/>
  <w:rsids>
    <w:rsidRoot w:val="00F83F40"/>
    <w:rsid w:val="000F239E"/>
    <w:rsid w:val="001340B4"/>
    <w:rsid w:val="002579E6"/>
    <w:rsid w:val="00271EA9"/>
    <w:rsid w:val="002D539E"/>
    <w:rsid w:val="002D571F"/>
    <w:rsid w:val="00316760"/>
    <w:rsid w:val="00352938"/>
    <w:rsid w:val="00360811"/>
    <w:rsid w:val="0047155F"/>
    <w:rsid w:val="006D6541"/>
    <w:rsid w:val="00844D8A"/>
    <w:rsid w:val="008D42BB"/>
    <w:rsid w:val="009916F3"/>
    <w:rsid w:val="00A17DCC"/>
    <w:rsid w:val="00A4581F"/>
    <w:rsid w:val="00A45D3E"/>
    <w:rsid w:val="00AC220B"/>
    <w:rsid w:val="00B87231"/>
    <w:rsid w:val="00BC5A65"/>
    <w:rsid w:val="00E167F3"/>
    <w:rsid w:val="00EC63AD"/>
    <w:rsid w:val="00F53900"/>
    <w:rsid w:val="00F83F40"/>
    <w:rsid w:val="00F97F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F4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83F40"/>
    <w:rPr>
      <w:color w:val="0000FF"/>
      <w:u w:val="single"/>
    </w:rPr>
  </w:style>
  <w:style w:type="paragraph" w:styleId="NormalWeb">
    <w:name w:val="Normal (Web)"/>
    <w:basedOn w:val="Normal"/>
    <w:uiPriority w:val="99"/>
    <w:unhideWhenUsed/>
    <w:rsid w:val="00BC5A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C5A65"/>
    <w:rPr>
      <w:b/>
      <w:bCs/>
    </w:rPr>
  </w:style>
  <w:style w:type="character" w:styleId="nfase">
    <w:name w:val="Emphasis"/>
    <w:basedOn w:val="Fontepargpadro"/>
    <w:uiPriority w:val="20"/>
    <w:qFormat/>
    <w:rsid w:val="00BC5A65"/>
    <w:rPr>
      <w:i/>
      <w:iCs/>
    </w:rPr>
  </w:style>
</w:styles>
</file>

<file path=word/webSettings.xml><?xml version="1.0" encoding="utf-8"?>
<w:webSettings xmlns:r="http://schemas.openxmlformats.org/officeDocument/2006/relationships" xmlns:w="http://schemas.openxmlformats.org/wordprocessingml/2006/main">
  <w:divs>
    <w:div w:id="151525381">
      <w:bodyDiv w:val="1"/>
      <w:marLeft w:val="0"/>
      <w:marRight w:val="0"/>
      <w:marTop w:val="0"/>
      <w:marBottom w:val="0"/>
      <w:divBdr>
        <w:top w:val="none" w:sz="0" w:space="0" w:color="auto"/>
        <w:left w:val="none" w:sz="0" w:space="0" w:color="auto"/>
        <w:bottom w:val="none" w:sz="0" w:space="0" w:color="auto"/>
        <w:right w:val="none" w:sz="0" w:space="0" w:color="auto"/>
      </w:divBdr>
      <w:divsChild>
        <w:div w:id="1686514396">
          <w:marLeft w:val="0"/>
          <w:marRight w:val="0"/>
          <w:marTop w:val="0"/>
          <w:marBottom w:val="0"/>
          <w:divBdr>
            <w:top w:val="none" w:sz="0" w:space="0" w:color="auto"/>
            <w:left w:val="none" w:sz="0" w:space="0" w:color="auto"/>
            <w:bottom w:val="none" w:sz="0" w:space="0" w:color="auto"/>
            <w:right w:val="none" w:sz="0" w:space="0" w:color="auto"/>
          </w:divBdr>
        </w:div>
        <w:div w:id="1343556523">
          <w:marLeft w:val="0"/>
          <w:marRight w:val="0"/>
          <w:marTop w:val="0"/>
          <w:marBottom w:val="0"/>
          <w:divBdr>
            <w:top w:val="none" w:sz="0" w:space="0" w:color="auto"/>
            <w:left w:val="none" w:sz="0" w:space="0" w:color="auto"/>
            <w:bottom w:val="none" w:sz="0" w:space="0" w:color="auto"/>
            <w:right w:val="none" w:sz="0" w:space="0" w:color="auto"/>
          </w:divBdr>
        </w:div>
        <w:div w:id="673534395">
          <w:marLeft w:val="0"/>
          <w:marRight w:val="0"/>
          <w:marTop w:val="0"/>
          <w:marBottom w:val="0"/>
          <w:divBdr>
            <w:top w:val="none" w:sz="0" w:space="0" w:color="auto"/>
            <w:left w:val="none" w:sz="0" w:space="0" w:color="auto"/>
            <w:bottom w:val="none" w:sz="0" w:space="0" w:color="auto"/>
            <w:right w:val="none" w:sz="0" w:space="0" w:color="auto"/>
          </w:divBdr>
        </w:div>
      </w:divsChild>
    </w:div>
    <w:div w:id="408505706">
      <w:bodyDiv w:val="1"/>
      <w:marLeft w:val="0"/>
      <w:marRight w:val="0"/>
      <w:marTop w:val="0"/>
      <w:marBottom w:val="0"/>
      <w:divBdr>
        <w:top w:val="none" w:sz="0" w:space="0" w:color="auto"/>
        <w:left w:val="none" w:sz="0" w:space="0" w:color="auto"/>
        <w:bottom w:val="none" w:sz="0" w:space="0" w:color="auto"/>
        <w:right w:val="none" w:sz="0" w:space="0" w:color="auto"/>
      </w:divBdr>
    </w:div>
    <w:div w:id="519587978">
      <w:bodyDiv w:val="1"/>
      <w:marLeft w:val="0"/>
      <w:marRight w:val="0"/>
      <w:marTop w:val="0"/>
      <w:marBottom w:val="0"/>
      <w:divBdr>
        <w:top w:val="none" w:sz="0" w:space="0" w:color="auto"/>
        <w:left w:val="none" w:sz="0" w:space="0" w:color="auto"/>
        <w:bottom w:val="none" w:sz="0" w:space="0" w:color="auto"/>
        <w:right w:val="none" w:sz="0" w:space="0" w:color="auto"/>
      </w:divBdr>
      <w:divsChild>
        <w:div w:id="94056630">
          <w:marLeft w:val="0"/>
          <w:marRight w:val="0"/>
          <w:marTop w:val="0"/>
          <w:marBottom w:val="0"/>
          <w:divBdr>
            <w:top w:val="none" w:sz="0" w:space="0" w:color="auto"/>
            <w:left w:val="none" w:sz="0" w:space="0" w:color="auto"/>
            <w:bottom w:val="none" w:sz="0" w:space="0" w:color="auto"/>
            <w:right w:val="none" w:sz="0" w:space="0" w:color="auto"/>
          </w:divBdr>
          <w:divsChild>
            <w:div w:id="244148430">
              <w:marLeft w:val="0"/>
              <w:marRight w:val="0"/>
              <w:marTop w:val="0"/>
              <w:marBottom w:val="0"/>
              <w:divBdr>
                <w:top w:val="none" w:sz="0" w:space="0" w:color="auto"/>
                <w:left w:val="none" w:sz="0" w:space="0" w:color="auto"/>
                <w:bottom w:val="none" w:sz="0" w:space="0" w:color="auto"/>
                <w:right w:val="none" w:sz="0" w:space="0" w:color="auto"/>
              </w:divBdr>
            </w:div>
            <w:div w:id="1050689621">
              <w:marLeft w:val="0"/>
              <w:marRight w:val="0"/>
              <w:marTop w:val="0"/>
              <w:marBottom w:val="0"/>
              <w:divBdr>
                <w:top w:val="none" w:sz="0" w:space="0" w:color="auto"/>
                <w:left w:val="none" w:sz="0" w:space="0" w:color="auto"/>
                <w:bottom w:val="none" w:sz="0" w:space="0" w:color="auto"/>
                <w:right w:val="none" w:sz="0" w:space="0" w:color="auto"/>
              </w:divBdr>
            </w:div>
          </w:divsChild>
        </w:div>
        <w:div w:id="963658320">
          <w:marLeft w:val="0"/>
          <w:marRight w:val="0"/>
          <w:marTop w:val="0"/>
          <w:marBottom w:val="0"/>
          <w:divBdr>
            <w:top w:val="none" w:sz="0" w:space="0" w:color="auto"/>
            <w:left w:val="none" w:sz="0" w:space="0" w:color="auto"/>
            <w:bottom w:val="none" w:sz="0" w:space="0" w:color="auto"/>
            <w:right w:val="none" w:sz="0" w:space="0" w:color="auto"/>
          </w:divBdr>
          <w:divsChild>
            <w:div w:id="1307781451">
              <w:marLeft w:val="0"/>
              <w:marRight w:val="0"/>
              <w:marTop w:val="0"/>
              <w:marBottom w:val="0"/>
              <w:divBdr>
                <w:top w:val="none" w:sz="0" w:space="0" w:color="auto"/>
                <w:left w:val="none" w:sz="0" w:space="0" w:color="auto"/>
                <w:bottom w:val="none" w:sz="0" w:space="0" w:color="auto"/>
                <w:right w:val="none" w:sz="0" w:space="0" w:color="auto"/>
              </w:divBdr>
            </w:div>
            <w:div w:id="8835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98452">
      <w:bodyDiv w:val="1"/>
      <w:marLeft w:val="0"/>
      <w:marRight w:val="0"/>
      <w:marTop w:val="0"/>
      <w:marBottom w:val="0"/>
      <w:divBdr>
        <w:top w:val="none" w:sz="0" w:space="0" w:color="auto"/>
        <w:left w:val="none" w:sz="0" w:space="0" w:color="auto"/>
        <w:bottom w:val="none" w:sz="0" w:space="0" w:color="auto"/>
        <w:right w:val="none" w:sz="0" w:space="0" w:color="auto"/>
      </w:divBdr>
    </w:div>
    <w:div w:id="899637961">
      <w:bodyDiv w:val="1"/>
      <w:marLeft w:val="0"/>
      <w:marRight w:val="0"/>
      <w:marTop w:val="0"/>
      <w:marBottom w:val="0"/>
      <w:divBdr>
        <w:top w:val="none" w:sz="0" w:space="0" w:color="auto"/>
        <w:left w:val="none" w:sz="0" w:space="0" w:color="auto"/>
        <w:bottom w:val="none" w:sz="0" w:space="0" w:color="auto"/>
        <w:right w:val="none" w:sz="0" w:space="0" w:color="auto"/>
      </w:divBdr>
      <w:divsChild>
        <w:div w:id="943852340">
          <w:marLeft w:val="0"/>
          <w:marRight w:val="0"/>
          <w:marTop w:val="0"/>
          <w:marBottom w:val="0"/>
          <w:divBdr>
            <w:top w:val="none" w:sz="0" w:space="0" w:color="auto"/>
            <w:left w:val="none" w:sz="0" w:space="0" w:color="auto"/>
            <w:bottom w:val="none" w:sz="0" w:space="0" w:color="auto"/>
            <w:right w:val="none" w:sz="0" w:space="0" w:color="auto"/>
          </w:divBdr>
          <w:divsChild>
            <w:div w:id="204488564">
              <w:marLeft w:val="0"/>
              <w:marRight w:val="0"/>
              <w:marTop w:val="0"/>
              <w:marBottom w:val="0"/>
              <w:divBdr>
                <w:top w:val="none" w:sz="0" w:space="0" w:color="auto"/>
                <w:left w:val="none" w:sz="0" w:space="0" w:color="auto"/>
                <w:bottom w:val="none" w:sz="0" w:space="0" w:color="auto"/>
                <w:right w:val="none" w:sz="0" w:space="0" w:color="auto"/>
              </w:divBdr>
            </w:div>
            <w:div w:id="1876195188">
              <w:marLeft w:val="0"/>
              <w:marRight w:val="0"/>
              <w:marTop w:val="0"/>
              <w:marBottom w:val="0"/>
              <w:divBdr>
                <w:top w:val="none" w:sz="0" w:space="0" w:color="auto"/>
                <w:left w:val="none" w:sz="0" w:space="0" w:color="auto"/>
                <w:bottom w:val="none" w:sz="0" w:space="0" w:color="auto"/>
                <w:right w:val="none" w:sz="0" w:space="0" w:color="auto"/>
              </w:divBdr>
            </w:div>
          </w:divsChild>
        </w:div>
        <w:div w:id="177357046">
          <w:marLeft w:val="0"/>
          <w:marRight w:val="0"/>
          <w:marTop w:val="0"/>
          <w:marBottom w:val="0"/>
          <w:divBdr>
            <w:top w:val="none" w:sz="0" w:space="0" w:color="auto"/>
            <w:left w:val="none" w:sz="0" w:space="0" w:color="auto"/>
            <w:bottom w:val="none" w:sz="0" w:space="0" w:color="auto"/>
            <w:right w:val="none" w:sz="0" w:space="0" w:color="auto"/>
          </w:divBdr>
          <w:divsChild>
            <w:div w:id="1161846009">
              <w:marLeft w:val="0"/>
              <w:marRight w:val="0"/>
              <w:marTop w:val="0"/>
              <w:marBottom w:val="0"/>
              <w:divBdr>
                <w:top w:val="none" w:sz="0" w:space="0" w:color="auto"/>
                <w:left w:val="none" w:sz="0" w:space="0" w:color="auto"/>
                <w:bottom w:val="none" w:sz="0" w:space="0" w:color="auto"/>
                <w:right w:val="none" w:sz="0" w:space="0" w:color="auto"/>
              </w:divBdr>
            </w:div>
            <w:div w:id="1360547142">
              <w:marLeft w:val="0"/>
              <w:marRight w:val="0"/>
              <w:marTop w:val="0"/>
              <w:marBottom w:val="0"/>
              <w:divBdr>
                <w:top w:val="none" w:sz="0" w:space="0" w:color="auto"/>
                <w:left w:val="none" w:sz="0" w:space="0" w:color="auto"/>
                <w:bottom w:val="none" w:sz="0" w:space="0" w:color="auto"/>
                <w:right w:val="none" w:sz="0" w:space="0" w:color="auto"/>
              </w:divBdr>
            </w:div>
          </w:divsChild>
        </w:div>
        <w:div w:id="1082339039">
          <w:marLeft w:val="0"/>
          <w:marRight w:val="0"/>
          <w:marTop w:val="0"/>
          <w:marBottom w:val="0"/>
          <w:divBdr>
            <w:top w:val="none" w:sz="0" w:space="0" w:color="auto"/>
            <w:left w:val="none" w:sz="0" w:space="0" w:color="auto"/>
            <w:bottom w:val="none" w:sz="0" w:space="0" w:color="auto"/>
            <w:right w:val="none" w:sz="0" w:space="0" w:color="auto"/>
          </w:divBdr>
          <w:divsChild>
            <w:div w:id="1078214042">
              <w:marLeft w:val="0"/>
              <w:marRight w:val="0"/>
              <w:marTop w:val="0"/>
              <w:marBottom w:val="0"/>
              <w:divBdr>
                <w:top w:val="none" w:sz="0" w:space="0" w:color="auto"/>
                <w:left w:val="none" w:sz="0" w:space="0" w:color="auto"/>
                <w:bottom w:val="none" w:sz="0" w:space="0" w:color="auto"/>
                <w:right w:val="none" w:sz="0" w:space="0" w:color="auto"/>
              </w:divBdr>
            </w:div>
            <w:div w:id="177913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40269">
      <w:bodyDiv w:val="1"/>
      <w:marLeft w:val="0"/>
      <w:marRight w:val="0"/>
      <w:marTop w:val="0"/>
      <w:marBottom w:val="0"/>
      <w:divBdr>
        <w:top w:val="none" w:sz="0" w:space="0" w:color="auto"/>
        <w:left w:val="none" w:sz="0" w:space="0" w:color="auto"/>
        <w:bottom w:val="none" w:sz="0" w:space="0" w:color="auto"/>
        <w:right w:val="none" w:sz="0" w:space="0" w:color="auto"/>
      </w:divBdr>
    </w:div>
    <w:div w:id="1282498207">
      <w:bodyDiv w:val="1"/>
      <w:marLeft w:val="0"/>
      <w:marRight w:val="0"/>
      <w:marTop w:val="0"/>
      <w:marBottom w:val="0"/>
      <w:divBdr>
        <w:top w:val="none" w:sz="0" w:space="0" w:color="auto"/>
        <w:left w:val="none" w:sz="0" w:space="0" w:color="auto"/>
        <w:bottom w:val="none" w:sz="0" w:space="0" w:color="auto"/>
        <w:right w:val="none" w:sz="0" w:space="0" w:color="auto"/>
      </w:divBdr>
      <w:divsChild>
        <w:div w:id="914631208">
          <w:marLeft w:val="0"/>
          <w:marRight w:val="0"/>
          <w:marTop w:val="0"/>
          <w:marBottom w:val="0"/>
          <w:divBdr>
            <w:top w:val="none" w:sz="0" w:space="0" w:color="auto"/>
            <w:left w:val="none" w:sz="0" w:space="0" w:color="auto"/>
            <w:bottom w:val="none" w:sz="0" w:space="0" w:color="auto"/>
            <w:right w:val="none" w:sz="0" w:space="0" w:color="auto"/>
          </w:divBdr>
        </w:div>
        <w:div w:id="1445617072">
          <w:marLeft w:val="0"/>
          <w:marRight w:val="0"/>
          <w:marTop w:val="0"/>
          <w:marBottom w:val="0"/>
          <w:divBdr>
            <w:top w:val="none" w:sz="0" w:space="0" w:color="auto"/>
            <w:left w:val="none" w:sz="0" w:space="0" w:color="auto"/>
            <w:bottom w:val="none" w:sz="0" w:space="0" w:color="auto"/>
            <w:right w:val="none" w:sz="0" w:space="0" w:color="auto"/>
          </w:divBdr>
        </w:div>
        <w:div w:id="1534343363">
          <w:marLeft w:val="0"/>
          <w:marRight w:val="0"/>
          <w:marTop w:val="0"/>
          <w:marBottom w:val="0"/>
          <w:divBdr>
            <w:top w:val="none" w:sz="0" w:space="0" w:color="auto"/>
            <w:left w:val="none" w:sz="0" w:space="0" w:color="auto"/>
            <w:bottom w:val="none" w:sz="0" w:space="0" w:color="auto"/>
            <w:right w:val="none" w:sz="0" w:space="0" w:color="auto"/>
          </w:divBdr>
        </w:div>
        <w:div w:id="690493113">
          <w:marLeft w:val="0"/>
          <w:marRight w:val="0"/>
          <w:marTop w:val="0"/>
          <w:marBottom w:val="0"/>
          <w:divBdr>
            <w:top w:val="none" w:sz="0" w:space="0" w:color="auto"/>
            <w:left w:val="none" w:sz="0" w:space="0" w:color="auto"/>
            <w:bottom w:val="none" w:sz="0" w:space="0" w:color="auto"/>
            <w:right w:val="none" w:sz="0" w:space="0" w:color="auto"/>
          </w:divBdr>
        </w:div>
      </w:divsChild>
    </w:div>
    <w:div w:id="1361933871">
      <w:bodyDiv w:val="1"/>
      <w:marLeft w:val="0"/>
      <w:marRight w:val="0"/>
      <w:marTop w:val="0"/>
      <w:marBottom w:val="0"/>
      <w:divBdr>
        <w:top w:val="none" w:sz="0" w:space="0" w:color="auto"/>
        <w:left w:val="none" w:sz="0" w:space="0" w:color="auto"/>
        <w:bottom w:val="none" w:sz="0" w:space="0" w:color="auto"/>
        <w:right w:val="none" w:sz="0" w:space="0" w:color="auto"/>
      </w:divBdr>
      <w:divsChild>
        <w:div w:id="516119040">
          <w:marLeft w:val="0"/>
          <w:marRight w:val="0"/>
          <w:marTop w:val="0"/>
          <w:marBottom w:val="0"/>
          <w:divBdr>
            <w:top w:val="none" w:sz="0" w:space="0" w:color="auto"/>
            <w:left w:val="none" w:sz="0" w:space="0" w:color="auto"/>
            <w:bottom w:val="none" w:sz="0" w:space="0" w:color="auto"/>
            <w:right w:val="none" w:sz="0" w:space="0" w:color="auto"/>
          </w:divBdr>
        </w:div>
      </w:divsChild>
    </w:div>
    <w:div w:id="1796368965">
      <w:bodyDiv w:val="1"/>
      <w:marLeft w:val="0"/>
      <w:marRight w:val="0"/>
      <w:marTop w:val="0"/>
      <w:marBottom w:val="0"/>
      <w:divBdr>
        <w:top w:val="none" w:sz="0" w:space="0" w:color="auto"/>
        <w:left w:val="none" w:sz="0" w:space="0" w:color="auto"/>
        <w:bottom w:val="none" w:sz="0" w:space="0" w:color="auto"/>
        <w:right w:val="none" w:sz="0" w:space="0" w:color="auto"/>
      </w:divBdr>
      <w:divsChild>
        <w:div w:id="1635407220">
          <w:marLeft w:val="0"/>
          <w:marRight w:val="0"/>
          <w:marTop w:val="0"/>
          <w:marBottom w:val="0"/>
          <w:divBdr>
            <w:top w:val="none" w:sz="0" w:space="0" w:color="auto"/>
            <w:left w:val="none" w:sz="0" w:space="0" w:color="auto"/>
            <w:bottom w:val="none" w:sz="0" w:space="0" w:color="auto"/>
            <w:right w:val="none" w:sz="0" w:space="0" w:color="auto"/>
          </w:divBdr>
        </w:div>
      </w:divsChild>
    </w:div>
    <w:div w:id="181104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una.jbrj.gov.br/" TargetMode="External"/><Relationship Id="rId3" Type="http://schemas.openxmlformats.org/officeDocument/2006/relationships/webSettings" Target="webSettings.xml"/><Relationship Id="rId7" Type="http://schemas.openxmlformats.org/officeDocument/2006/relationships/hyperlink" Target="http://www.ufsm.br/pro-reitorias/prpgp/patrimonio-genetico---perguntas-e-resposta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_Ato2015-2018/2015/Lei/L13123.htm" TargetMode="External"/><Relationship Id="rId11" Type="http://schemas.openxmlformats.org/officeDocument/2006/relationships/fontTable" Target="fontTable.xml"/><Relationship Id="rId5" Type="http://schemas.openxmlformats.org/officeDocument/2006/relationships/hyperlink" Target="http://www.ufsm.br/pro-reitorias/prpgp/patrimonio-genetico/" TargetMode="External"/><Relationship Id="rId10" Type="http://schemas.openxmlformats.org/officeDocument/2006/relationships/hyperlink" Target="http://www.planalto.gov.br/ccivil_03/_ato2015-2018/2016/decreto/D8772.htm" TargetMode="External"/><Relationship Id="rId4" Type="http://schemas.openxmlformats.org/officeDocument/2006/relationships/hyperlink" Target="https://portal.ufsm.br/questionario/index.html" TargetMode="External"/><Relationship Id="rId9" Type="http://schemas.openxmlformats.org/officeDocument/2006/relationships/hyperlink" Target="http://www.planalto.gov.br/ccivil_03/_Ato2015-2018/2015/Lei/L13123.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7</Pages>
  <Words>4060</Words>
  <Characters>21930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Liciani</dc:creator>
  <cp:lastModifiedBy>Liciani</cp:lastModifiedBy>
  <cp:revision>7</cp:revision>
  <dcterms:created xsi:type="dcterms:W3CDTF">2020-08-28T13:39:00Z</dcterms:created>
  <dcterms:modified xsi:type="dcterms:W3CDTF">2020-08-31T00:25:00Z</dcterms:modified>
</cp:coreProperties>
</file>