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35"/>
        </w:tabs>
        <w:spacing w:after="120" w:before="12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35"/>
        </w:tabs>
        <w:spacing w:after="120" w:before="120" w:lineRule="auto"/>
        <w:ind w:left="1" w:hanging="3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ANÁLISE</w:t>
      </w:r>
    </w:p>
    <w:p w:rsidR="00000000" w:rsidDel="00000000" w:rsidP="00000000" w:rsidRDefault="00000000" w:rsidRPr="00000000" w14:paraId="00000003">
      <w:pPr>
        <w:tabs>
          <w:tab w:val="left" w:leader="none" w:pos="2835"/>
        </w:tabs>
        <w:spacing w:after="120" w:before="120" w:lineRule="auto"/>
        <w:ind w:left="1" w:hanging="3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ACOMPANHAMENTO DE CREDENCIAMENTO DE PPGs STRICTO SENSU - CURSOS NOTA A E 3</w:t>
      </w:r>
    </w:p>
    <w:p w:rsidR="00000000" w:rsidDel="00000000" w:rsidP="00000000" w:rsidRDefault="00000000" w:rsidRPr="00000000" w14:paraId="00000004">
      <w:pPr>
        <w:tabs>
          <w:tab w:val="left" w:leader="none" w:pos="2835"/>
        </w:tabs>
        <w:spacing w:after="120" w:before="120" w:lineRule="auto"/>
        <w:ind w:left="1" w:hanging="3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595"/>
        <w:gridCol w:w="7035"/>
        <w:tblGridChange w:id="0">
          <w:tblGrid>
            <w:gridCol w:w="2595"/>
            <w:gridCol w:w="7035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left="0" w:hanging="2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rtl w:val="0"/>
              </w:rPr>
              <w:t xml:space="preserve">Núcleo de Criação e Acompanhamento de Cursos de Pós-graduação (NCAC)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Parecer nº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 da Análise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Processo nº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PPG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Área de avaliação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Ano de início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9"/>
        <w:gridCol w:w="4536"/>
        <w:gridCol w:w="615"/>
        <w:gridCol w:w="660"/>
        <w:gridCol w:w="993"/>
        <w:tblGridChange w:id="0">
          <w:tblGrid>
            <w:gridCol w:w="3109"/>
            <w:gridCol w:w="4536"/>
            <w:gridCol w:w="615"/>
            <w:gridCol w:w="660"/>
            <w:gridCol w:w="99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Pareceristas/relatores: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 da análise: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Itens de análise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Atendimento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Parcial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Análise das normas de credenciamento/recredenciamento docente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Os critérios e métricas de credenciamento docente adotados pelo PPG estão alinhados com os indicadores de desempenho utilizados pela área de avaliação, especialmente considerando a meta de aumento da nota de avaliação para 4?  </w:t>
            </w:r>
          </w:p>
          <w:p w:rsidR="00000000" w:rsidDel="00000000" w:rsidP="00000000" w:rsidRDefault="00000000" w:rsidRPr="00000000" w14:paraId="0000002E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Parecer substanciado: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 periodicidade de avaliação dos docentes já credenciados permite acompanhar suas contribuições ao longo do quadriênio, adotando medidas corretivas dentro de um período de avaliação quadrienal?  </w:t>
            </w:r>
          </w:p>
          <w:p w:rsidR="00000000" w:rsidDel="00000000" w:rsidP="00000000" w:rsidRDefault="00000000" w:rsidRPr="00000000" w14:paraId="00000034">
            <w:pPr>
              <w:widowControl w:val="0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Parecer substanciado: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Existe um período de carência adequado para a primeira avaliação de docentes recém credenciados no PPG, ou, no caso de cursos novos, para a avaliação docente?</w:t>
            </w:r>
          </w:p>
          <w:p w:rsidR="00000000" w:rsidDel="00000000" w:rsidP="00000000" w:rsidRDefault="00000000" w:rsidRPr="00000000" w14:paraId="0000003A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Parecer substanciado: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 composição e atuação do corpo docente atende às recomendações definidas pela área de avaliação da CAPES no Documento de Área e/ou Documento orientador de APCN, no que diz respeito a proporção entre docentes colaboradores e permanentes, e perfil de atuação destes grupos de docentes (orientação, participação em projetos, e disciplinas)?</w:t>
            </w:r>
          </w:p>
          <w:p w:rsidR="00000000" w:rsidDel="00000000" w:rsidP="00000000" w:rsidRDefault="00000000" w:rsidRPr="00000000" w14:paraId="00000040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Parecer substanciado: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ind w:left="0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Análise do relatório de (re)credenciamento docente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 credenciamento de novos docentes foi estrategicamente planejado para que o PPG atinja a nota 4 considerando o histórico de atuação do docente inserido e a sua forma de inserção (categoria docente)?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Parecer substanciado: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 recredenciamento de docentes antigos e a sua categoria de atuação foi estrategicamente planejado para que o PPG atinja a nota 4 considerando o histórico de atuação dos docentes no PPG?</w:t>
            </w:r>
          </w:p>
          <w:p w:rsidR="00000000" w:rsidDel="00000000" w:rsidP="00000000" w:rsidRDefault="00000000" w:rsidRPr="00000000" w14:paraId="00000051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Parecer substanciado: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7727"/>
          <w:tab w:val="left" w:leader="none" w:pos="8861"/>
        </w:tabs>
        <w:spacing w:after="60" w:before="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371"/>
          <w:tab w:val="left" w:leader="none" w:pos="8789"/>
        </w:tabs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7371"/>
          <w:tab w:val="left" w:leader="none" w:pos="8789"/>
        </w:tabs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60" w:before="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Comitê Assessor da PRPGP é de parecer que:</w:t>
      </w:r>
    </w:p>
    <w:p w:rsidR="00000000" w:rsidDel="00000000" w:rsidP="00000000" w:rsidRDefault="00000000" w:rsidRPr="00000000" w14:paraId="0000005B">
      <w:pPr>
        <w:spacing w:after="60" w:before="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60" w:before="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   ) As normas de (re)credenciamento do PPG estão alinhadas com as exigências da Área de Avaliação da CAPES e permitirão a sua evolução rumo à consolidação nas próximas avaliações da CAPES.</w:t>
      </w:r>
    </w:p>
    <w:p w:rsidR="00000000" w:rsidDel="00000000" w:rsidP="00000000" w:rsidRDefault="00000000" w:rsidRPr="00000000" w14:paraId="0000005D">
      <w:pPr>
        <w:spacing w:after="60" w:before="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60" w:before="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   ) O processo de (re)credenciamento do PPG está alinhado com as exigências da Área de Avaliação da CAPES e permitirão a sua evolução rumo à consolidação nas próximas avaliações da CAPES.</w:t>
      </w:r>
    </w:p>
    <w:p w:rsidR="00000000" w:rsidDel="00000000" w:rsidP="00000000" w:rsidRDefault="00000000" w:rsidRPr="00000000" w14:paraId="0000005F">
      <w:pPr>
        <w:spacing w:after="60" w:before="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60" w:before="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Recomenda-se a revisão das normas de (re)credenciamento docente e/ou do processo de (re)credenciamento docente no que diz respeito aos seguintes aspectos:</w:t>
      </w:r>
    </w:p>
    <w:p w:rsidR="00000000" w:rsidDel="00000000" w:rsidP="00000000" w:rsidRDefault="00000000" w:rsidRPr="00000000" w14:paraId="00000061">
      <w:pPr>
        <w:spacing w:after="60" w:before="60" w:lineRule="auto"/>
        <w:ind w:left="0" w:hanging="2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1.....</w:t>
      </w:r>
    </w:p>
    <w:p w:rsidR="00000000" w:rsidDel="00000000" w:rsidP="00000000" w:rsidRDefault="00000000" w:rsidRPr="00000000" w14:paraId="00000062">
      <w:pPr>
        <w:spacing w:after="60" w:before="60" w:lineRule="auto"/>
        <w:ind w:left="0" w:hanging="2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2.....</w:t>
      </w:r>
    </w:p>
    <w:p w:rsidR="00000000" w:rsidDel="00000000" w:rsidP="00000000" w:rsidRDefault="00000000" w:rsidRPr="00000000" w14:paraId="00000063">
      <w:pPr>
        <w:spacing w:after="60" w:before="60" w:lineRule="auto"/>
        <w:ind w:left="0" w:hanging="2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3.....</w:t>
      </w:r>
    </w:p>
    <w:p w:rsidR="00000000" w:rsidDel="00000000" w:rsidP="00000000" w:rsidRDefault="00000000" w:rsidRPr="00000000" w14:paraId="00000064">
      <w:pPr>
        <w:spacing w:after="60" w:before="60" w:lineRule="auto"/>
        <w:ind w:left="0" w:hanging="2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4.....</w:t>
      </w:r>
    </w:p>
    <w:p w:rsidR="00000000" w:rsidDel="00000000" w:rsidP="00000000" w:rsidRDefault="00000000" w:rsidRPr="00000000" w14:paraId="00000065">
      <w:pPr>
        <w:spacing w:after="60" w:before="6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212" w:top="530" w:left="1418" w:right="851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ind w:left="0" w:hanging="2"/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ind w:left="0" w:hanging="2"/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ind w:left="0" w:hanging="2"/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ind w:left="0" w:hanging="2"/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after="60" w:before="60" w:lineRule="auto"/>
      <w:ind w:left="1" w:hanging="3"/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19050</wp:posOffset>
          </wp:positionV>
          <wp:extent cx="1323975" cy="99547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3975" cy="9954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spacing w:after="60" w:before="60" w:lineRule="auto"/>
      <w:ind w:left="1" w:hanging="3"/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UNIVERSIDADE FEDERAL DE SANTA MARIA</w:t>
    </w:r>
  </w:p>
  <w:p w:rsidR="00000000" w:rsidDel="00000000" w:rsidP="00000000" w:rsidRDefault="00000000" w:rsidRPr="00000000" w14:paraId="0000006D">
    <w:pPr>
      <w:spacing w:after="60" w:before="60" w:lineRule="auto"/>
      <w:ind w:left="1" w:hanging="3"/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PRÓ-REITORIA DE PÓS-GRADUAÇÃO E PESQUISA</w:t>
    </w:r>
  </w:p>
  <w:p w:rsidR="00000000" w:rsidDel="00000000" w:rsidP="00000000" w:rsidRDefault="00000000" w:rsidRPr="00000000" w14:paraId="0000006E">
    <w:pPr>
      <w:spacing w:after="60" w:before="60" w:lineRule="auto"/>
      <w:ind w:left="1" w:hanging="3"/>
      <w:rPr>
        <w:color w:val="000000"/>
      </w:rPr>
    </w:pPr>
    <w:r w:rsidDel="00000000" w:rsidR="00000000" w:rsidRPr="00000000">
      <w:rPr>
        <w:sz w:val="26"/>
        <w:szCs w:val="26"/>
        <w:rtl w:val="0"/>
      </w:rPr>
      <w:t xml:space="preserve">COMITÊ ASSESSOR DA PRPGP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firstLine="6379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firstLine="5245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709" w:firstLine="851"/>
      <w:jc w:val="both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</w:pPr>
    <w:rPr>
      <w:rFonts w:ascii="Cambria" w:hAnsi="Cambria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widowControl w:val="0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tabs>
        <w:tab w:val="left" w:pos="0"/>
      </w:tabs>
      <w:ind w:firstLine="6379"/>
      <w:jc w:val="both"/>
      <w:outlineLvl w:val="3"/>
    </w:pPr>
    <w:rPr>
      <w:rFonts w:ascii="Calibri" w:hAnsi="Calibr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ind w:firstLine="5245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spacing w:line="360" w:lineRule="auto"/>
      <w:ind w:left="709" w:firstLine="851"/>
      <w:jc w:val="both"/>
      <w:outlineLvl w:val="5"/>
    </w:pPr>
    <w:rPr>
      <w:rFonts w:ascii="Calibri" w:hAnsi="Calibri"/>
      <w:b w:val="1"/>
      <w:bCs w:val="1"/>
    </w:rPr>
  </w:style>
  <w:style w:type="paragraph" w:styleId="Ttulo7">
    <w:name w:val="heading 7"/>
    <w:basedOn w:val="Normal"/>
    <w:next w:val="Normal"/>
    <w:pPr>
      <w:keepNext w:val="1"/>
      <w:outlineLvl w:val="6"/>
    </w:pPr>
    <w:rPr>
      <w:rFonts w:ascii="Calibri" w:hAnsi="Calibri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rPr>
      <w:rFonts w:ascii="Cambria" w:cs="Times New Roman" w:hAnsi="Cambria"/>
      <w:b w:val="1"/>
      <w:w w:val="100"/>
      <w:kern w:val="32"/>
      <w:position w:val="-1"/>
      <w:sz w:val="32"/>
      <w:effect w:val="none"/>
      <w:vertAlign w:val="baseline"/>
      <w:cs w:val="0"/>
      <w:em w:val="none"/>
    </w:rPr>
  </w:style>
  <w:style w:type="character" w:styleId="Ttulo2Char" w:customStyle="1">
    <w:name w:val="Título 2 Char"/>
    <w:basedOn w:val="Fontepargpadro"/>
    <w:rPr>
      <w:rFonts w:ascii="Cambria" w:cs="Times New Roman" w:hAnsi="Cambria"/>
      <w:b w:val="1"/>
      <w:i w:val="1"/>
      <w:w w:val="100"/>
      <w:position w:val="-1"/>
      <w:sz w:val="28"/>
      <w:effect w:val="none"/>
      <w:vertAlign w:val="baseline"/>
      <w:cs w:val="0"/>
      <w:em w:val="none"/>
    </w:rPr>
  </w:style>
  <w:style w:type="character" w:styleId="Ttulo3Char" w:customStyle="1">
    <w:name w:val="Título 3 Char"/>
    <w:basedOn w:val="Fontepargpadro"/>
    <w:rPr>
      <w:rFonts w:ascii="Cambria" w:cs="Times New Roman" w:hAnsi="Cambria"/>
      <w:b w:val="1"/>
      <w:w w:val="100"/>
      <w:position w:val="-1"/>
      <w:sz w:val="26"/>
      <w:effect w:val="none"/>
      <w:vertAlign w:val="baseline"/>
      <w:cs w:val="0"/>
      <w:em w:val="none"/>
    </w:rPr>
  </w:style>
  <w:style w:type="character" w:styleId="Ttulo4Char" w:customStyle="1">
    <w:name w:val="Título 4 Char"/>
    <w:basedOn w:val="Fontepargpadro"/>
    <w:rPr>
      <w:rFonts w:ascii="Calibri" w:cs="Times New Roman" w:hAnsi="Calibri"/>
      <w:b w:val="1"/>
      <w:w w:val="100"/>
      <w:position w:val="-1"/>
      <w:sz w:val="28"/>
      <w:effect w:val="none"/>
      <w:vertAlign w:val="baseline"/>
      <w:cs w:val="0"/>
      <w:em w:val="none"/>
    </w:rPr>
  </w:style>
  <w:style w:type="character" w:styleId="Ttulo5Char" w:customStyle="1">
    <w:name w:val="Título 5 Char"/>
    <w:basedOn w:val="Fontepargpadro"/>
    <w:rPr>
      <w:rFonts w:ascii="Calibri" w:cs="Times New Roman" w:hAnsi="Calibri"/>
      <w:b w:val="1"/>
      <w:i w:val="1"/>
      <w:w w:val="100"/>
      <w:position w:val="-1"/>
      <w:sz w:val="26"/>
      <w:effect w:val="none"/>
      <w:vertAlign w:val="baseline"/>
      <w:cs w:val="0"/>
      <w:em w:val="none"/>
    </w:rPr>
  </w:style>
  <w:style w:type="character" w:styleId="Ttulo6Char" w:customStyle="1">
    <w:name w:val="Título 6 Char"/>
    <w:basedOn w:val="Fontepargpadro"/>
    <w:rPr>
      <w:rFonts w:ascii="Calibri" w:cs="Times New Roman" w:hAnsi="Calibri"/>
      <w:b w:val="1"/>
      <w:w w:val="100"/>
      <w:position w:val="-1"/>
      <w:effect w:val="none"/>
      <w:vertAlign w:val="baseline"/>
      <w:cs w:val="0"/>
      <w:em w:val="none"/>
    </w:rPr>
  </w:style>
  <w:style w:type="character" w:styleId="Ttulo7Char" w:customStyle="1">
    <w:name w:val="Título 7 Char"/>
    <w:basedOn w:val="Fontepargpadro"/>
    <w:rPr>
      <w:rFonts w:ascii="Calibri" w:cs="Times New Roman" w:hAnsi="Calibri"/>
      <w:w w:val="100"/>
      <w:position w:val="-1"/>
      <w:sz w:val="24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</w:style>
  <w:style w:type="character" w:styleId="Recuodecorpodetexto2Char" w:customStyle="1">
    <w:name w:val="Recuo de corpo de texto 2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</w:style>
  <w:style w:type="character" w:styleId="CorpodetextoChar" w:customStyle="1">
    <w:name w:val="Corpo de text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Corpodetexto21" w:customStyle="1">
    <w:name w:val="Corpo de texto 21"/>
    <w:basedOn w:val="Normal"/>
    <w:pPr>
      <w:widowControl w:val="0"/>
    </w:pPr>
    <w:rPr>
      <w:sz w:val="28"/>
      <w:szCs w:val="28"/>
    </w:rPr>
  </w:style>
  <w:style w:type="paragraph" w:styleId="Recuodecorpodetexto3">
    <w:name w:val="Body Text Indent 3"/>
    <w:basedOn w:val="Normal"/>
    <w:pPr>
      <w:ind w:firstLine="852"/>
      <w:jc w:val="both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rPr>
      <w:w w:val="100"/>
      <w:position w:val="-1"/>
      <w:sz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1"/>
  </w:style>
  <w:style w:type="character" w:styleId="TextodecomentrioChar" w:customStyle="1">
    <w:name w:val="Texto de comentári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hAnsi="Segoe UI"/>
      <w:sz w:val="18"/>
      <w:szCs w:val="18"/>
    </w:rPr>
  </w:style>
  <w:style w:type="character" w:styleId="TextodebaloChar" w:customStyle="1">
    <w:name w:val="Texto de balão Char"/>
    <w:basedOn w:val="Fontepargpadro"/>
    <w:rPr>
      <w:rFonts w:ascii="Segoe UI" w:cs="Times New Roman" w:hAnsi="Segoe UI"/>
      <w:w w:val="100"/>
      <w:position w:val="-1"/>
      <w:sz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0729B"/>
    <w:pPr>
      <w:spacing w:line="240" w:lineRule="auto"/>
    </w:pPr>
    <w:rPr>
      <w:b w:val="1"/>
      <w:bCs w:val="1"/>
    </w:rPr>
  </w:style>
  <w:style w:type="character" w:styleId="TextodecomentrioChar1" w:customStyle="1">
    <w:name w:val="Texto de comentário Char1"/>
    <w:basedOn w:val="Fontepargpadro"/>
    <w:link w:val="Textodecomentrio"/>
    <w:rsid w:val="00A0729B"/>
    <w:rPr>
      <w:position w:val="-1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 w:val="1"/>
    <w:rsid w:val="00A0729B"/>
    <w:rPr>
      <w:b w:val="1"/>
      <w:bCs w:val="1"/>
      <w:position w:val="-1"/>
    </w:rPr>
  </w:style>
  <w:style w:type="paragraph" w:styleId="NormalWeb">
    <w:name w:val="Normal (Web)"/>
    <w:basedOn w:val="Normal"/>
    <w:uiPriority w:val="99"/>
    <w:unhideWhenUsed w:val="1"/>
    <w:rsid w:val="00563841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8E0EC6"/>
    <w:pPr>
      <w:ind w:left="720"/>
      <w:contextualSpacing w:val="1"/>
    </w:pPr>
  </w:style>
  <w:style w:type="character" w:styleId="fontstyle01" w:customStyle="1">
    <w:name w:val="fontstyle01"/>
    <w:basedOn w:val="Fontepargpadro"/>
    <w:rsid w:val="00E66D83"/>
    <w:rPr>
      <w:rFonts w:ascii="Calibri-Italic" w:hAnsi="Calibri-Italic" w:hint="default"/>
      <w:b w:val="0"/>
      <w:bCs w:val="0"/>
      <w:i w:val="1"/>
      <w:iCs w:val="1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E66D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oX3V7RQafeFCZGCkMol2haFAg==">CgMxLjA4AHIhMVJiNE1Ya0tTMlR1T1NBUEt4ck1RU2ljYzhENUZDV3JL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2022-10-15T16:42:00Z</dcterms:created>
  <dc:creator>UfSM</dc:creator>
</cp:coreProperties>
</file>