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PLANO DE AÇÃO 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INFRAESTRUTURA MULTIUSUÁRIA COM SUPORTE MULTIUSUÁRIO - (IMSM)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São consideradas IMSM a estrutura com acesso multiusuário 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parte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 uma estrutura física, bem como a equipamentos específicos nas formas dos incisos I e II do Art. 3° da Resolução 248/2026 e demais definições constantes no Art. 8°.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-283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Dados de identificação:</w:t>
      </w:r>
    </w:p>
    <w:tbl>
      <w:tblPr>
        <w:tblStyle w:val="Table1"/>
        <w:tblW w:w="9045.0" w:type="dxa"/>
        <w:jc w:val="left"/>
        <w:tblInd w:w="-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40"/>
        <w:gridCol w:w="6105"/>
        <w:tblGridChange w:id="0">
          <w:tblGrid>
            <w:gridCol w:w="2940"/>
            <w:gridCol w:w="610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da IMSM: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Pesquisador Responsável (nome e SIAPE):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Sítio de internet*: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 Endereço do sítio de internet em que conste informações específicas da estrutura multiusuária, o qual pode ser exclusivo da própria estrutura ou inserido dentro do sítio da unidade/subunidade que estiver vinculada.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Arranjo de infraestrutura multiusuária proposta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(assinalar um ou mais)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Instalações físicas para atividades de propósito específico, tais como laboratórios, centrais analíticas, biotérios, salas limpas, plantas piloto, entre outros, incluindo os seus equipamentos e utensílios de uso.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Instalações físicas para atividades de propósito geral, tais como anfiteatros, salas de exposição, espaços multipropósitos, estúdios de gravação, entre outros.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Recursos de equipamentos e instrumentos móveis que possam ser transportados para diferentes locais de uso.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Recursos baseados em conhecimento, tais como coleções bibliográficas ou taxonômicas, museus, arquivos e base de dados.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Recursos de tecnologia da informação e comunicação, tais como recursos computacionais, clusters, redes computacionais de alto desempenho, computação em nuvem, bancos de dados, programas de computador especializados, entre outros.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Estrutura de natureza singular, tais como jardim botânico, estufas agrícolas, reservas ambientais e áreas/estações experimentais, que possam ser utilizadas para o apoio das atividades de pesquisa, ensino e extensão.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Descrição dos recursos/instrumentos/equipamento/bens disponíveis como IMSM:</w:t>
      </w:r>
    </w:p>
    <w:tbl>
      <w:tblPr>
        <w:tblStyle w:val="Table2"/>
        <w:tblW w:w="9045.0" w:type="dxa"/>
        <w:jc w:val="left"/>
        <w:tblInd w:w="-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95"/>
        <w:gridCol w:w="5950"/>
        <w:tblGridChange w:id="0">
          <w:tblGrid>
            <w:gridCol w:w="3095"/>
            <w:gridCol w:w="595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Breve especificação técnica: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N° de registro patrimonial*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Finalidade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 Caso o bem ainda não tenha sido patrimoniado por questões relacionadas ao financiamento para aquisição, declaro que o objeto atende ao requisito previsto na Resolução 248/2026, Art. 3, inciso 2, e que o processo de registro patrimonial será realizado de acordo com a legislação. 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434"/>
        </w:tabs>
        <w:spacing w:line="360" w:lineRule="auto"/>
        <w:ind w:hanging="14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434"/>
        </w:tabs>
        <w:spacing w:line="360" w:lineRule="auto"/>
        <w:ind w:hanging="141"/>
        <w:jc w:val="both"/>
        <w:rPr>
          <w:rFonts w:ascii="Times New Roman" w:cs="Times New Roman" w:eastAsia="Times New Roman" w:hAnsi="Times New Roman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Reproduza o quadro acima conforme a necessidade para a descrição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 recursos/instrumentos/equipamentos/bens que integram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a IMSM e terão acesso multiusuário.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Dados de identificação da unidade/subunidade a que pertence a IMSM</w:t>
      </w:r>
    </w:p>
    <w:tbl>
      <w:tblPr>
        <w:tblStyle w:val="Table3"/>
        <w:tblW w:w="8937.0" w:type="dxa"/>
        <w:jc w:val="left"/>
        <w:tblInd w:w="-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10"/>
        <w:gridCol w:w="6627"/>
        <w:tblGridChange w:id="0">
          <w:tblGrid>
            <w:gridCol w:w="2310"/>
            <w:gridCol w:w="662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Unidade: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Subunidade (se houver vínculo):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Localização da IMSM (prédio, sala):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Gestor patrimonial: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SIAPE gestor: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Responsável titular</w:t>
      </w:r>
    </w:p>
    <w:tbl>
      <w:tblPr>
        <w:tblStyle w:val="Table4"/>
        <w:tblW w:w="8940.0" w:type="dxa"/>
        <w:jc w:val="left"/>
        <w:tblInd w:w="-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95"/>
        <w:gridCol w:w="6645"/>
        <w:tblGridChange w:id="0">
          <w:tblGrid>
            <w:gridCol w:w="2295"/>
            <w:gridCol w:w="664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Nome: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SIAPE: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E-mail: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Telefone: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Suplente</w:t>
      </w:r>
    </w:p>
    <w:tbl>
      <w:tblPr>
        <w:tblStyle w:val="Table5"/>
        <w:tblW w:w="8970.0" w:type="dxa"/>
        <w:jc w:val="left"/>
        <w:tblInd w:w="-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95"/>
        <w:gridCol w:w="6675"/>
        <w:tblGridChange w:id="0">
          <w:tblGrid>
            <w:gridCol w:w="2295"/>
            <w:gridCol w:w="667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Nome: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SIAPE: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E-mail: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Telefone: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Calibri" w:cs="Calibri" w:eastAsia="Calibri" w:hAnsi="Calibri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434"/>
        </w:tabs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Equipe técnica da IMSM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integrantes da equipe técnica, especializada na operação do(s) equipamento(s) multiusuário(s), caso houver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Reproduza o quadro abaixo conforme a necessidade).</w:t>
      </w: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6660"/>
        <w:tblGridChange w:id="0">
          <w:tblGrid>
            <w:gridCol w:w="2340"/>
            <w:gridCol w:w="666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SIAPE: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Cargo/função: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Unidade/subunidade de vínculo: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Breve apresentação da IMSM 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caracterização, objetivos e relevância para uso multiusuário em pesquisas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(limite de 2.500 caracteres)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Descrição do sistema de agendamento público de uso disponível aos potenciais usuários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(agendas/formulários eletrônicos e públicos):</w:t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5D">
      <w:pPr>
        <w:widowControl w:val="0"/>
        <w:tabs>
          <w:tab w:val="left" w:leader="none" w:pos="434"/>
        </w:tabs>
        <w:spacing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tabs>
        <w:tab w:val="center" w:leader="none" w:pos="4252"/>
        <w:tab w:val="right" w:leader="none" w:pos="8504"/>
      </w:tabs>
      <w:spacing w:line="240" w:lineRule="auto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Calibri" w:cs="Calibri" w:eastAsia="Calibri" w:hAnsi="Calibri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-718180</wp:posOffset>
          </wp:positionH>
          <wp:positionV relativeFrom="topMargin">
            <wp:posOffset>139416</wp:posOffset>
          </wp:positionV>
          <wp:extent cx="899795" cy="89979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Ministério da Educação</w:t>
    </w:r>
  </w:p>
  <w:p w:rsidR="00000000" w:rsidDel="00000000" w:rsidP="00000000" w:rsidRDefault="00000000" w:rsidRPr="00000000" w14:paraId="0000005F">
    <w:pPr>
      <w:tabs>
        <w:tab w:val="center" w:leader="none" w:pos="4252"/>
        <w:tab w:val="right" w:leader="none" w:pos="8504"/>
      </w:tabs>
      <w:spacing w:line="240" w:lineRule="auto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Universidade Federal de Santa Maria</w:t>
    </w:r>
  </w:p>
  <w:p w:rsidR="00000000" w:rsidDel="00000000" w:rsidP="00000000" w:rsidRDefault="00000000" w:rsidRPr="00000000" w14:paraId="00000060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Pró-Reitoria de Pós-Graduação e Pesquisa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Z0Kx18GtPHPxQFKyWmoM7aMv9A==">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