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spacing w:after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INFRAESTRUTURAS MULTIUSUÁRIAS PLENAS (IMP)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spacing w:after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REGULAMENTO DE USO 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CAPÍTULO I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 CARACTERIZAÇÃO DA INFRAESTRUTURA</w:t>
      </w:r>
    </w:p>
    <w:p w:rsidR="00000000" w:rsidDel="00000000" w:rsidP="00000000" w:rsidRDefault="00000000" w:rsidRPr="00000000" w14:paraId="00000005">
      <w:pPr>
        <w:tabs>
          <w:tab w:val="left" w:leader="none" w:pos="555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Apresentação da infraestrutura, unidade/subunidade vinculada, escopo da InfraMulti.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CAPÍTULO II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 DESCRIÇÃO</w:t>
      </w:r>
    </w:p>
    <w:p w:rsidR="00000000" w:rsidDel="00000000" w:rsidP="00000000" w:rsidRDefault="00000000" w:rsidRPr="00000000" w14:paraId="00000009">
      <w:pPr>
        <w:tabs>
          <w:tab w:val="left" w:leader="none" w:pos="555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Descrição dos equipamentos, instrumentos, locais ou recursos disponibilizados.</w:t>
      </w:r>
    </w:p>
    <w:p w:rsidR="00000000" w:rsidDel="00000000" w:rsidP="00000000" w:rsidRDefault="00000000" w:rsidRPr="00000000" w14:paraId="0000000A">
      <w:pPr>
        <w:tabs>
          <w:tab w:val="left" w:leader="none" w:pos="555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55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CAPÍTULO III</w:t>
      </w:r>
    </w:p>
    <w:p w:rsidR="00000000" w:rsidDel="00000000" w:rsidP="00000000" w:rsidRDefault="00000000" w:rsidRPr="00000000" w14:paraId="0000000C">
      <w:pPr>
        <w:tabs>
          <w:tab w:val="left" w:leader="none" w:pos="555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DOS USUÁRIOS</w:t>
      </w:r>
    </w:p>
    <w:p w:rsidR="00000000" w:rsidDel="00000000" w:rsidP="00000000" w:rsidRDefault="00000000" w:rsidRPr="00000000" w14:paraId="0000000D">
      <w:pPr>
        <w:tabs>
          <w:tab w:val="left" w:leader="none" w:pos="555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Indicação de qual público alvo a que se destina o uso multiusuário dos equipamentos, instrumentos, locais ou recursos disponibilizados.</w:t>
      </w:r>
    </w:p>
    <w:p w:rsidR="00000000" w:rsidDel="00000000" w:rsidP="00000000" w:rsidRDefault="00000000" w:rsidRPr="00000000" w14:paraId="0000000E">
      <w:pPr>
        <w:tabs>
          <w:tab w:val="left" w:leader="none" w:pos="555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CAPÍTULO IV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ACESSO</w:t>
      </w:r>
    </w:p>
    <w:p w:rsidR="00000000" w:rsidDel="00000000" w:rsidP="00000000" w:rsidRDefault="00000000" w:rsidRPr="00000000" w14:paraId="00000011">
      <w:pPr>
        <w:tabs>
          <w:tab w:val="left" w:leader="none" w:pos="555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Estabelecimento de regras e mecanismos de agendamento para usuários internos(as) e externos(as) à UFSM.</w:t>
      </w:r>
    </w:p>
    <w:p w:rsidR="00000000" w:rsidDel="00000000" w:rsidP="00000000" w:rsidRDefault="00000000" w:rsidRPr="00000000" w14:paraId="00000012">
      <w:pPr>
        <w:tabs>
          <w:tab w:val="left" w:leader="none" w:pos="555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CAPÍTULO V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DAS CONDIÇÕES DE USO</w:t>
      </w:r>
    </w:p>
    <w:p w:rsidR="00000000" w:rsidDel="00000000" w:rsidP="00000000" w:rsidRDefault="00000000" w:rsidRPr="00000000" w14:paraId="00000015">
      <w:pPr>
        <w:tabs>
          <w:tab w:val="left" w:leader="none" w:pos="555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Descrição das instruções de uso, exigências técnicas,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segurança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bem como financeiras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(se houver)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acesso aos equipamentos, instrumentos, locais ou recursos disponibilizados ou a realização do serviço/análise.</w:t>
      </w:r>
    </w:p>
    <w:p w:rsidR="00000000" w:rsidDel="00000000" w:rsidP="00000000" w:rsidRDefault="00000000" w:rsidRPr="00000000" w14:paraId="00000016">
      <w:pPr>
        <w:tabs>
          <w:tab w:val="left" w:leader="none" w:pos="555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55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CAPÍTULO VI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MONITORAMENTO</w:t>
      </w:r>
    </w:p>
    <w:p w:rsidR="00000000" w:rsidDel="00000000" w:rsidP="00000000" w:rsidRDefault="00000000" w:rsidRPr="00000000" w14:paraId="0000001A">
      <w:pPr>
        <w:tabs>
          <w:tab w:val="left" w:leader="none" w:pos="555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Indicação dos mecanismos de registros de uso, que incluem a utilização dos elementos (espaços e equipamentos) e de atendimentos internos e externos realizados.</w:t>
      </w:r>
    </w:p>
    <w:p w:rsidR="00000000" w:rsidDel="00000000" w:rsidP="00000000" w:rsidRDefault="00000000" w:rsidRPr="00000000" w14:paraId="0000001B">
      <w:pPr>
        <w:tabs>
          <w:tab w:val="left" w:leader="none" w:pos="555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CAPÍTULO VII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 GESTÃO</w:t>
      </w:r>
    </w:p>
    <w:p w:rsidR="00000000" w:rsidDel="00000000" w:rsidP="00000000" w:rsidRDefault="00000000" w:rsidRPr="00000000" w14:paraId="0000001E">
      <w:pPr>
        <w:tabs>
          <w:tab w:val="left" w:leader="none" w:pos="555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Definição das atribuições de responsabilidade na manutenção da infraestrutura física e patrimonial e na gestão da equipe técnica.</w:t>
      </w:r>
    </w:p>
    <w:p w:rsidR="00000000" w:rsidDel="00000000" w:rsidP="00000000" w:rsidRDefault="00000000" w:rsidRPr="00000000" w14:paraId="0000001F">
      <w:pPr>
        <w:tabs>
          <w:tab w:val="left" w:leader="none" w:pos="555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CAPÍTULO VIII</w:t>
      </w:r>
    </w:p>
    <w:p w:rsidR="00000000" w:rsidDel="00000000" w:rsidP="00000000" w:rsidRDefault="00000000" w:rsidRPr="00000000" w14:paraId="00000021">
      <w:pPr>
        <w:tabs>
          <w:tab w:val="left" w:leader="none" w:pos="1134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GRUPO GESTOR </w:t>
      </w:r>
    </w:p>
    <w:p w:rsidR="00000000" w:rsidDel="00000000" w:rsidP="00000000" w:rsidRDefault="00000000" w:rsidRPr="00000000" w14:paraId="00000022">
      <w:pPr>
        <w:tabs>
          <w:tab w:val="left" w:leader="none" w:pos="555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Composição e representatividade do grupo gestor.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Sugere-se também a previsão de criação de um grupo ou comitê que represente os usuários da IMP a fim de acolher críticas e sugestões. Neste caso, apresentar a composição e o funcionamento do grupo/comitê, ressaltando que os membros do grupo gestor não podem fazer parte do grupo/comitê de usuários.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55"/>
        </w:tabs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-561974</wp:posOffset>
          </wp:positionH>
          <wp:positionV relativeFrom="topMargin">
            <wp:posOffset>285750</wp:posOffset>
          </wp:positionV>
          <wp:extent cx="899795" cy="89979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Ministério da Educação</w:t>
    </w:r>
  </w:p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Universidade Federal de Santa Maria</w:t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Pró-Reitoria de Pós-Graduação e Pesquisa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419"/>
        <w:tab w:val="right" w:leader="none" w:pos="8838"/>
      </w:tabs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