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C- Critérios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PRE 031/2024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color w:val="00000a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SELEÇÃO INTERNA DE AÇÕES ALINHADAS AOS COREDES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1 - Interação entre graduação e pós-graduação: (1,0)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(0,0) Equipe não contempla alunos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(1,0)  Equipe contempla alunos de graduação e pós graduação 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 Equipe contempla alunos de graduação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2 - Interdisciplinaridade (1,0)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(1,0) Equipe executora de </w:t>
      </w:r>
      <w:r w:rsidDel="00000000" w:rsidR="00000000" w:rsidRPr="00000000">
        <w:rPr>
          <w:rtl w:val="0"/>
        </w:rPr>
        <w:t xml:space="preserve">três o</w:t>
      </w:r>
      <w:r w:rsidDel="00000000" w:rsidR="00000000" w:rsidRPr="00000000">
        <w:rPr>
          <w:highlight w:val="white"/>
          <w:rtl w:val="0"/>
        </w:rPr>
        <w:t xml:space="preserve">u mais áreas/cursos diferentes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(0,5) Equipe executora de duas áreas/cursos diferentes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(0,3) Equipe executora da mesma área/cursos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3 - Regionalização (Impacto da ação em nível regional, com abrangência territorial) (1,5)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(1,0) </w:t>
      </w:r>
      <w:r w:rsidDel="00000000" w:rsidR="00000000" w:rsidRPr="00000000">
        <w:rPr>
          <w:highlight w:val="white"/>
          <w:rtl w:val="0"/>
        </w:rPr>
        <w:t xml:space="preserve">Parceria externa com o poder público, entidades ou associações em três ou mais municípios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</w:t>
      </w:r>
      <w:r w:rsidDel="00000000" w:rsidR="00000000" w:rsidRPr="00000000">
        <w:rPr>
          <w:highlight w:val="white"/>
          <w:rtl w:val="0"/>
        </w:rPr>
        <w:t xml:space="preserve"> Parceria externa com o poder público, entidades ou associações em dois municípios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(0,3) </w:t>
      </w:r>
      <w:r w:rsidDel="00000000" w:rsidR="00000000" w:rsidRPr="00000000">
        <w:rPr>
          <w:highlight w:val="white"/>
          <w:rtl w:val="0"/>
        </w:rPr>
        <w:t xml:space="preserve">Parceria externa com o poder público, entidades ou associações em um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4 - A ação de Extensão possui contrapartida dos municípios/Entidades onde será executada?(0,5) 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Sim 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(0,0) Não 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5 - Impacto e transformação social esperados na comunidade: (2,0) 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(1,5) – A ação propõe transformar de modo efetivo, a realidade da região, alterando suas rotinas, resolvendo problemas crônicos, interferindo positivamente em dificuldades diagnosticadas, gerando alto impacto social.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(1,0) – A ação tem potencial de melhorar as condições da região em questão, construindo estratégias para futuras transformações efetivas, gerando médio impacto social.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A ação possui fraco potencial de intervenção na região, no que se refere à qualidade inicial da comunidade trabalhada, gerando baixo impacto social.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6 - Atendimento de demandas apresentadas no Anexo E - Consulta Popular 2023 - AÇÕES ELEITAS POR COREDE  (1,5) </w: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(1,5) A ação atende a mais de uma das ações eleitas para o COREDE vinculado ao Campus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(1,0) A ação atende a uma das ações eleitas para o COREDE vinculado ao Campus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A ação não atende a ações eleitas para o COREDE vinculado ao Campus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7 - Alinhamento com os Objetivos do Desenvolvimento Sustentável e Desafios do PDI da UFSM conforme anexo A - Quadro 1 (1,5) 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(1,5) Alinhamento claro aos ODS e PDI da UFSM vinculados as demandas do COREDE </w:t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(1,0) Pouco alinhado aos ODS e PDI da UFSM vinculados as demandas do COREDE 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Não há alinhamento aos ODS e PDI da UFSM vinculados as demandas do COREDE 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8 - A proposta apresenta aspectos que proporcionam a visibilidade da universidade para a comunidade? (observar o item da ficha de inscrição: Impacto Regional e Transformação Social esperados) (1,0)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(1,0) Sim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(0,5) Em partes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(0,0) Não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