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A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a"/>
          <w:rtl w:val="0"/>
        </w:rPr>
        <w:t xml:space="preserve">ORÇAMENTO PARA AUXÍLIO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645.0" w:type="dxa"/>
        <w:tblLayout w:type="fixed"/>
        <w:tblLook w:val="0400"/>
      </w:tblPr>
      <w:tblGrid>
        <w:gridCol w:w="4665"/>
        <w:gridCol w:w="2520"/>
        <w:gridCol w:w="2445"/>
        <w:tblGridChange w:id="0">
          <w:tblGrid>
            <w:gridCol w:w="4665"/>
            <w:gridCol w:w="2520"/>
            <w:gridCol w:w="2445"/>
          </w:tblGrid>
        </w:tblGridChange>
      </w:tblGrid>
      <w:tr>
        <w:trPr>
          <w:cantSplit w:val="0"/>
          <w:trHeight w:val="570.2685546874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Tipo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jc w:val="center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a"/>
                <w:sz w:val="28"/>
                <w:szCs w:val="28"/>
                <w:rtl w:val="0"/>
              </w:rPr>
              <w:t xml:space="preserve">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a"/>
                <w:sz w:val="28"/>
                <w:szCs w:val="28"/>
                <w:rtl w:val="0"/>
              </w:rPr>
              <w:t xml:space="preserve">Valor total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Bolsas*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/>
            </w:pPr>
            <w:r w:rsidDel="00000000" w:rsidR="00000000" w:rsidRPr="00000000">
              <w:rPr>
                <w:color w:val="00000a"/>
                <w:rtl w:val="0"/>
              </w:rPr>
              <w:t xml:space="preserve">Inscrição no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Transporte*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(indicar o tipo no campo ao lado)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Diárias*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VALOR TOTAL </w:t>
            </w:r>
            <w:r w:rsidDel="00000000" w:rsidR="00000000" w:rsidRPr="00000000">
              <w:rPr>
                <w:b w:val="1"/>
                <w:color w:val="00000a"/>
                <w:sz w:val="28"/>
                <w:szCs w:val="2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 Confira os valores de referência na próxima página.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 PARA ORÇAMENTO DA CHAMADA DE REPRESENTAÇÃO INSTITUCIONAL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5730"/>
            <w:tblGridChange w:id="0">
              <w:tblGrid>
                <w:gridCol w:w="3300"/>
                <w:gridCol w:w="5730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2e5a89" w:val="clear"/>
              </w:tcPr>
              <w:p w:rsidR="00000000" w:rsidDel="00000000" w:rsidP="00000000" w:rsidRDefault="00000000" w:rsidRPr="00000000" w14:paraId="00000028">
                <w:pPr>
                  <w:widowControl w:val="0"/>
                  <w:ind w:hanging="141.7322834645671"/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TRANSPORTE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e48c43" w:val="clear"/>
              </w:tcPr>
              <w:p w:rsidR="00000000" w:rsidDel="00000000" w:rsidP="00000000" w:rsidRDefault="00000000" w:rsidRPr="00000000" w14:paraId="0000002A">
                <w:pPr>
                  <w:widowControl w:val="0"/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TIPO</w:t>
                </w:r>
              </w:p>
            </w:tc>
            <w:tc>
              <w:tcPr>
                <w:shd w:fill="e48c43" w:val="clear"/>
              </w:tcPr>
              <w:p w:rsidR="00000000" w:rsidDel="00000000" w:rsidP="00000000" w:rsidRDefault="00000000" w:rsidRPr="00000000" w14:paraId="0000002B">
                <w:pPr>
                  <w:widowControl w:val="0"/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R$/km rodado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Carro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R$1,50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Camionete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R$1,60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Van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R$2,00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Microônibus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R$3,50</w:t>
                </w:r>
              </w:p>
            </w:tc>
          </w:tr>
          <w:tr>
            <w:trPr>
              <w:cantSplit w:val="0"/>
              <w:trHeight w:val="496.18652343749955" w:hRule="atLeast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Ônibus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R$5,00</w:t>
                </w:r>
              </w:p>
            </w:tc>
          </w:tr>
          <w:tr>
            <w:trPr>
              <w:cantSplit w:val="0"/>
              <w:trHeight w:val="496.18652343749955" w:hRule="atLeast"/>
              <w:tblHeader w:val="0"/>
            </w:trPr>
            <w:tc>
              <w:tcPr>
                <w:gridSpan w:val="2"/>
                <w:shd w:fill="2e5a89" w:val="clear"/>
              </w:tcPr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DIÁRIA</w:t>
                </w:r>
              </w:p>
            </w:tc>
          </w:tr>
          <w:tr>
            <w:trPr>
              <w:cantSplit w:val="0"/>
              <w:trHeight w:val="496.18652343749955" w:hRule="atLeast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Servidor(a)*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line="27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R$330</w:t>
                </w:r>
              </w:p>
            </w:tc>
          </w:tr>
          <w:tr>
            <w:trPr>
              <w:cantSplit w:val="0"/>
              <w:trHeight w:val="496.18652343749955" w:hRule="atLeast"/>
              <w:tblHeader w:val="0"/>
            </w:trPr>
            <w:tc>
              <w:tcPr>
                <w:gridSpan w:val="2"/>
                <w:shd w:fill="2e5a89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b w:val="1"/>
                    <w:color w:val="ffffff"/>
                  </w:rPr>
                </w:pPr>
                <w:r w:rsidDel="00000000" w:rsidR="00000000" w:rsidRPr="00000000">
                  <w:rPr>
                    <w:b w:val="1"/>
                    <w:color w:val="ffffff"/>
                    <w:rtl w:val="0"/>
                  </w:rPr>
                  <w:t xml:space="preserve">BOLSAS</w:t>
                </w:r>
              </w:p>
            </w:tc>
          </w:tr>
          <w:tr>
            <w:trPr>
              <w:cantSplit w:val="0"/>
              <w:trHeight w:val="496.18652343749955" w:hRule="atLeast"/>
              <w:tblHeader w:val="0"/>
            </w:trPr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Alunos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R$150/dia**</w:t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*Entende-se por servidores/as: TAEs, docentes 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  <w:t xml:space="preserve">**O valor em bolsa não pode ultrapassar R$750 por aluno por evento.</w:t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Obs: Lembre-se de de incluir a diária do motorista no seu cálculo quando este for servidor da UFSM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261.77165354331" w:top="1417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befor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www.ufsm.br/pre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(55) 3220-8366 / (55) 9197 4805 -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extensao@ufsm.br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br w:type="textWrapping"/>
      <w:t xml:space="preserve">Av. Roraima, nº 1.000 - Cidade Universitária - Prédio 47 - 9º andar - Sala 945</w:t>
      <w:br w:type="textWrapping"/>
      <w:t xml:space="preserve">Bairro Camobi - Santa Maria (RS) - CEP: 97105-900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spacing w:befor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www.ufsm.br/pre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(55) 3220-8366 / (55) 9197 4805 -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extensao@ufsm.br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br w:type="textWrapping"/>
      <w:t xml:space="preserve">Av. Roraima, nº 1.000 - Cidade Universitária - Prédio 47 - 9º andar - Sala 945</w:t>
      <w:br w:type="textWrapping"/>
      <w:t xml:space="preserve">Bairro Camobi - Santa Maria (RS) - Cep.: 97105-900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-41903</wp:posOffset>
          </wp:positionH>
          <wp:positionV relativeFrom="paragraph">
            <wp:posOffset>133985</wp:posOffset>
          </wp:positionV>
          <wp:extent cx="1514475" cy="788670"/>
          <wp:effectExtent b="0" l="0" r="0" t="0"/>
          <wp:wrapSquare wrapText="bothSides" distB="0" distT="0" distL="0" distR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788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Ministério da Educação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Universidade Federal de Santa Maria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Pró-Reitoria de Extensão - PRE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85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4577715</wp:posOffset>
          </wp:positionH>
          <wp:positionV relativeFrom="topMargin">
            <wp:posOffset>-904230</wp:posOffset>
          </wp:positionV>
          <wp:extent cx="1071245" cy="1097280"/>
          <wp:effectExtent b="0" l="0" r="0" t="0"/>
          <wp:wrapSquare wrapText="bothSides" distB="0" distT="0" distL="114300" distR="114300"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245" cy="1097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-81279</wp:posOffset>
              </wp:positionV>
              <wp:extent cx="3619500" cy="991235"/>
              <wp:effectExtent b="0" l="0" r="0" t="0"/>
              <wp:wrapSquare wrapText="bothSides" distB="45720" distT="45720" distL="114300" distR="114300"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69588" y="3317720"/>
                        <a:ext cx="355282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COORDENADORIA AÇÕES REGIONAIS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-81279</wp:posOffset>
              </wp:positionV>
              <wp:extent cx="3619500" cy="991235"/>
              <wp:effectExtent b="0" l="0" r="0" t="0"/>
              <wp:wrapSquare wrapText="bothSides" distB="45720" distT="45720" distL="114300" distR="114300"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9500" cy="991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1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10" w:before="10" w:line="360" w:lineRule="auto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color w:val="000000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ZapfHumnst BT" w:hAnsi="ZapfHumnst BT"/>
      <w:b w:val="1"/>
      <w:noProof w:val="0"/>
      <w:color w:val="000000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bCs w:val="1"/>
      <w:color w:val="000000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emlista1">
    <w:name w:val="Tabela em lista 1"/>
    <w:basedOn w:val="Tabelanormal"/>
    <w:next w:val="Tabelaemlista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1"/>
      <w:tblStyleRowBandSize w:val="1"/>
      <w:jc w:val="left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  <w:insideH w:color="auto" w:space="0" w:sz="0" w:val="none"/>
        <w:insideV w:color="auto" w:space="0" w:sz="0" w:val="none"/>
      </w:tblBorders>
    </w:tblPr>
  </w:style>
  <w:style w:type="table" w:styleId="Tabelaemlista7">
    <w:name w:val="Tabela em lista 7"/>
    <w:basedOn w:val="Tabelanormal"/>
    <w:next w:val="Tabelaemlista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7"/>
      <w:tblStyleRowBandSize w:val="1"/>
      <w:jc w:val="left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  <w:insideV w:color="auto" w:space="0" w:sz="0" w:val="none"/>
      </w:tblBorders>
    </w:tblPr>
  </w:style>
  <w:style w:type="character" w:styleId="CabeçalhoChar1">
    <w:name w:val="Cabeçalho Char1"/>
    <w:next w:val="CabeçalhoChar1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IejpHIjEgycUSLBz0yvzgFilg==">CgMxLjAaHwoBMBIaChgICVIUChJ0YWJsZS5oc2xmamllOXk2d3c4AHIhMU1CQWpTVjZyTDNyb0JWcm4xVGktUkJkQjRma3oyRElt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2022-03-14T04:11:00Z</dcterms:created>
  <dc:creator>prae8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1717131176</vt:lpwstr>
  </property>
</Properties>
</file>