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CRITÉRIOS DE AVALIAÇÃO – EDITAL FIEX 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Caracterização da proposta e compatibilidade orçamentária (classificatório)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Ficha de inscrição (Anexo B) e relatório da ação (disponível no Portal de Projetos).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0,5 - Ficha de inscrição parcialmente preenchida, com escassez de informações em alguns campos e/ou não compatíveis com o relatório da ação (Portal de Projetos), com orçamento não condizente à caracterização da proposta (observar os itens de 1 a 14).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1,0 - Ficha de inscrição devidamente preenchida, com algumas informações inconsistentes ou insuficientes sobre a proposta e com orçamento parcialmente condizente à caracterização da proposta (observar os itens de 1 a 14).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) 1,5 - Ficha de inscrição devidamente preenchida, com detalhamento suficiente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das informações e compatível com a ação registrada no Portal de Projetos, com orçamento totalmente condizente à caracterização da proposta (observar os itens de 1 a 14).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2. A equipe da ação é interdisciplinar/interprofissional?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spacing w:line="240" w:lineRule="auto"/>
        <w:jc w:val="both"/>
        <w:rPr>
          <w:strike w:val="1"/>
        </w:rPr>
      </w:pPr>
      <w:r w:rsidDel="00000000" w:rsidR="00000000" w:rsidRPr="00000000">
        <w:rPr>
          <w:rtl w:val="0"/>
        </w:rPr>
        <w:t xml:space="preserve">Indicador: composição da equipe executora (composição da equipe executora constante no relatório da ação disponível no Portal de Projetos) e item 7 da ficha de inscrição. Os itens são somatórios, conforme as categorias de participantes que a ação de extensão apresenta.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2.1 Participação docente: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(além do/a coordenador)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Somente docentes do mesmo curso/departamento que o coordenador da proposta ou 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Docentes que não compõem o mesmo departamento que o coordenador da proposta e que atendem a cursos diferentes que o coordenador. 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2.2 Participação discente graduação, </w:t>
      </w:r>
      <w:r w:rsidDel="00000000" w:rsidR="00000000" w:rsidRPr="00000000">
        <w:rPr>
          <w:color w:val="00000a"/>
          <w:rtl w:val="0"/>
        </w:rPr>
        <w:t xml:space="preserve">ensino médio, técnico e tecnológico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de discente de graduação, ensino médio, técnico e tecnológico.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Somente alunos de graduação, </w:t>
      </w:r>
      <w:r w:rsidDel="00000000" w:rsidR="00000000" w:rsidRPr="00000000">
        <w:rPr>
          <w:color w:val="00000a"/>
          <w:rtl w:val="0"/>
        </w:rPr>
        <w:t xml:space="preserve">ensino médio, técnico e tecnológico </w:t>
      </w:r>
      <w:r w:rsidDel="00000000" w:rsidR="00000000" w:rsidRPr="00000000">
        <w:rPr>
          <w:rtl w:val="0"/>
        </w:rPr>
        <w:t xml:space="preserve">do mesmo curso ou 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Alunos de graduação, </w:t>
      </w:r>
      <w:r w:rsidDel="00000000" w:rsidR="00000000" w:rsidRPr="00000000">
        <w:rPr>
          <w:color w:val="00000a"/>
          <w:rtl w:val="0"/>
        </w:rPr>
        <w:t xml:space="preserve">ensino médio, técnico e tecnológico</w:t>
      </w:r>
      <w:r w:rsidDel="00000000" w:rsidR="00000000" w:rsidRPr="00000000">
        <w:rPr>
          <w:rtl w:val="0"/>
        </w:rPr>
        <w:t xml:space="preserve"> de diferentes cursos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2.3 Participação discente pós-graduação: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Alunos de Pós-Graduação do mesmo curso ou 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Alunos de Pós-graduação de diferentes cursos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2.4 Participação TAE: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 (além do/a coordenador)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(0,1) Técnicos Administrativos do mesmo departamento/setor ou 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Técnicos Administrativos de diferentes departamentos/setores</w:t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2.5 Participação externa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(0,0) Sem participação</w:t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(0,2) Participantes externos</w:t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3. Indissociabilidade entre Extensão, Ensino e Pesquisa 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Indica de forma clara e consistente relação entre extensão, ensino e pesquisa e reflete o impacto na formação de estudantes (campo da ficha de inscrição)</w:t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 ) 0,0 – não contempla.</w:t>
      </w:r>
    </w:p>
    <w:p w:rsidR="00000000" w:rsidDel="00000000" w:rsidP="00000000" w:rsidRDefault="00000000" w:rsidRPr="00000000" w14:paraId="00000028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0,5 – contempla parcialmente: Indica de forma clara e consistente a relação entre extensão, pesquisa </w:t>
      </w:r>
      <w:r w:rsidDel="00000000" w:rsidR="00000000" w:rsidRPr="00000000">
        <w:rPr>
          <w:b w:val="1"/>
          <w:rtl w:val="0"/>
        </w:rPr>
        <w:t xml:space="preserve">ou </w:t>
      </w:r>
      <w:r w:rsidDel="00000000" w:rsidR="00000000" w:rsidRPr="00000000">
        <w:rPr>
          <w:rtl w:val="0"/>
        </w:rPr>
        <w:t xml:space="preserve">ensino e não demonstra claramente o impacto na formação de estudantes.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) 1,0 – contempla: Indica de forma clara e consistente relação entre extensão, ensino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 pesquisa e demonstra de forma clara o impacto na formação de estudantes.</w:t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4. Abrangência e impacto da ação (classificatório).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Indicadores: Observar os itens 11 a 14 da ficha de inscrição. </w:t>
      </w:r>
    </w:p>
    <w:p w:rsidR="00000000" w:rsidDel="00000000" w:rsidP="00000000" w:rsidRDefault="00000000" w:rsidRPr="00000000" w14:paraId="0000002D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) 0,0 – A ação está restrita à comunidade interna.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(  ) 1,0 – A ação possui fraco potencial de intervenção na comunidade externa, gerando impactos imperceptíveis no que se refere à qualidade inicial da comunidade (público) trabalhada, com resultados e produtos/entregas pouco compatíveis com as ações previstas.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(  ) 1,7 – A ação tem potencial de melhorar as condições da comunidade (público) em questão, construindo estratégias para futuras transformações efetivas, com resultados e produtos/entregas compatíveis com as ações previstas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) 2,0 – A ação propõe transformar de modo efetivo, a realidade da comunidade (público), alterando suas rotinas, resolvendo problemas crônicos, interferindo positivamente em dificuldades diagnosticadas, com resultados e produtos/entregas compatíveis com as ações previstas .</w:t>
      </w:r>
    </w:p>
    <w:p w:rsidR="00000000" w:rsidDel="00000000" w:rsidP="00000000" w:rsidRDefault="00000000" w:rsidRPr="00000000" w14:paraId="00000031">
      <w:pPr>
        <w:tabs>
          <w:tab w:val="left" w:leader="none" w:pos="113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134"/>
        </w:tabs>
        <w:spacing w:line="240" w:lineRule="auto"/>
        <w:jc w:val="both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b w:val="1"/>
          <w:rtl w:val="0"/>
        </w:rPr>
        <w:t xml:space="preserve">5. Plano de atividade dos bolsistas (classificatório)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Indicador: o plano de atividades de bolsista(s) demonstra o envolvimento de estudantes na ação e tem relação com os itens 10, 11 e 13 da ficha de inscrição</w:t>
      </w:r>
    </w:p>
    <w:p w:rsidR="00000000" w:rsidDel="00000000" w:rsidP="00000000" w:rsidRDefault="00000000" w:rsidRPr="00000000" w14:paraId="00000034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0,5 - Plano de atividades parcialmente preenchido, não apresenta o cronograma e/ou objetivos das atividades.</w:t>
      </w:r>
    </w:p>
    <w:p w:rsidR="00000000" w:rsidDel="00000000" w:rsidP="00000000" w:rsidRDefault="00000000" w:rsidRPr="00000000" w14:paraId="00000035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 ) 0,7- Plano de atividades parcialmente preenchido, atividades semelhantes ou iguais dos bolsistas.</w:t>
      </w:r>
    </w:p>
    <w:p w:rsidR="00000000" w:rsidDel="00000000" w:rsidP="00000000" w:rsidRDefault="00000000" w:rsidRPr="00000000" w14:paraId="00000036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) 1,0 – Plano de atividades totalmente preenchido com descrição das atividades parcialmente compatível com as ações previstas.</w:t>
      </w:r>
    </w:p>
    <w:p w:rsidR="00000000" w:rsidDel="00000000" w:rsidP="00000000" w:rsidRDefault="00000000" w:rsidRPr="00000000" w14:paraId="00000037">
      <w:pPr>
        <w:tabs>
          <w:tab w:val="left" w:leader="none" w:pos="113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(  ) 1,5 – Plano de atividades totalmente preenchido com descrição das atividades do plano compatível com as ações previstas.</w:t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 Coerência entre as ações previstas, a metodologia e os resultados esperados e entregas da proposta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Indicador: Contempla a forma como a ação vai difundir seus resultados ou ainda a potencialidade que a mesma tem para gerar produtos/publicações, observar os itens 11 e 14 da ficha de inscrição</w:t>
      </w:r>
    </w:p>
    <w:p w:rsidR="00000000" w:rsidDel="00000000" w:rsidP="00000000" w:rsidRDefault="00000000" w:rsidRPr="00000000" w14:paraId="0000003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1,0 - a proposta apresenta pouca coerência entre as ações previstas, a metodologia descrita e os resultados esperados, demonstrando pouco potencial de geração de produtos/entregas.</w:t>
      </w:r>
    </w:p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2,0 - a proposta apresenta coerência entre as ações previstas, a metodologia descrita e os resultados, demonstrando potencial de geração de produtos/entregas.</w:t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  ) 3,0 - a proposta apresenta muita coerência entre as ações previstas, a metodologia descrita e os resultados, demonstrando grande potencial de geração de produtos/entregas.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