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012 /2025 - ODH/CODERC/PRE/UFSM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DE FOMENTO AOS DIREITOS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0" w:line="360" w:lineRule="auto"/>
        <w:ind w:left="0" w:right="0" w:firstLine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A ficha deverá ser salva em pdf para submissão no Portal de Bolsas e Editais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da Ação (disponível no Portal de Projetos)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5737"/>
        </w:tabs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Ação (disponível no Portal de Projetos):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5737"/>
        </w:tabs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do(a) Coordenador(a):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Telefone/WhatsApp: </w:t>
        <w:tab/>
        <w:t xml:space="preserve"> E-mail: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5737"/>
        </w:tabs>
        <w:spacing w:after="140" w:before="0" w:line="288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5737"/>
        </w:tabs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Ações de Extensão: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Recebeu auxílio FIEX no ano anterior?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Recebeu auxílio do ODH no ano anterior?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Coordenador/a está concorrendo ao FIEX deste ano?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Coordenador/a está concorrendo a outro edital da PRE (Incubadora, Geoparques,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Casa Verônica,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CORED</w:t>
      </w:r>
      <w:r w:rsidDel="00000000" w:rsidR="00000000" w:rsidRPr="00000000">
        <w:rPr>
          <w:b w:val="1"/>
          <w:sz w:val="24"/>
          <w:szCs w:val="24"/>
          <w:rtl w:val="0"/>
        </w:rPr>
        <w:t xml:space="preserve">E’s, Território Imembuí ou outro, exceto FIEX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neste ano?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qual? 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Realização:  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de Inscrição: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C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Grupo temático: (marque somente uma opção)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Grupo Temático em Direitos Humanos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Grupo Temático Extensão Prisional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NEABI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em Soberania e Segurança Alimentar</w:t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Pessoa com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Deficiência 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Ler atentamente e completar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todos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os itens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 Resumo da ação, objetivos e relação com ODH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(Máx. 1.500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Parcerias Internas e Externas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(listar </w:t>
      </w:r>
      <w:r w:rsidDel="00000000" w:rsidR="00000000" w:rsidRPr="00000000">
        <w:rPr>
          <w:sz w:val="20"/>
          <w:szCs w:val="20"/>
          <w:rtl w:val="0"/>
        </w:rPr>
        <w:t xml:space="preserve">também a contrapartida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desses apoiadores)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Máx. 1.000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2.000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 Impacto e Transformação Social esperados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(destacar número de pessoas contempladas diretamente)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1.500 caracteres)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left="0" w:right="880" w:firstLine="0"/>
        <w:jc w:val="both"/>
        <w:rPr/>
      </w:pPr>
      <w:r w:rsidDel="00000000" w:rsidR="00000000" w:rsidRPr="00000000">
        <w:rPr>
          <w:b w:val="1"/>
          <w:rtl w:val="0"/>
        </w:rPr>
        <w:t xml:space="preserve">5 - Público-Alvo que será impactado pela ação:</w:t>
      </w:r>
      <w:r w:rsidDel="00000000" w:rsidR="00000000" w:rsidRPr="00000000">
        <w:rPr>
          <w:rtl w:val="0"/>
        </w:rPr>
        <w:t xml:space="preserve"> (informe o público que poderá ser impactado diretamente e indiretamente pela(s) atividade(s)) (Máximo 1500 caracteres)</w:t>
      </w:r>
    </w:p>
    <w:p w:rsidR="00000000" w:rsidDel="00000000" w:rsidP="00000000" w:rsidRDefault="00000000" w:rsidRPr="00000000" w14:paraId="0000003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Discriminar Público-Alvo direto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Quantificar Público-Alvo direto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2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Discriminar Público-Alvo Indireto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Quantificar Público-Alvo Indireto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6 - Orçamento para o ano de 2025:</w:t>
      </w:r>
    </w:p>
    <w:p w:rsidR="00000000" w:rsidDel="00000000" w:rsidP="00000000" w:rsidRDefault="00000000" w:rsidRPr="00000000" w14:paraId="0000003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6.1 Auxílio Financeiro a Estudantes (Bolsas). Valores conforme item 12.3.1 do Edital</w:t>
      </w:r>
    </w:p>
    <w:tbl>
      <w:tblPr>
        <w:tblStyle w:val="Table3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2160"/>
        <w:gridCol w:w="1680"/>
        <w:gridCol w:w="1335"/>
        <w:gridCol w:w="1950"/>
        <w:gridCol w:w="1380"/>
        <w:tblGridChange w:id="0">
          <w:tblGrid>
            <w:gridCol w:w="2160"/>
            <w:gridCol w:w="1680"/>
            <w:gridCol w:w="1335"/>
            <w:gridCol w:w="1950"/>
            <w:gridCol w:w="138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Bolsa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4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bolsistas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7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meses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4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Mensal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5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Técnico/Graduação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Pós-Graduação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6.2 Benefícios (conforme</w:t>
      </w:r>
      <w:hyperlink r:id="rId8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4cc"/>
            <w:u w:val="single"/>
            <w:rtl w:val="0"/>
          </w:rPr>
          <w:t xml:space="preserve">Art. 2º, Inciso II, alíneas “a”, “b”, “c” e “§3º” e “§4º” da IN</w:t>
        </w:r>
      </w:hyperlink>
      <w:r w:rsidDel="00000000" w:rsidR="00000000" w:rsidRPr="00000000">
        <w:rPr>
          <w:b w:val="1"/>
          <w:color w:val="1154cc"/>
          <w:rtl w:val="0"/>
        </w:rPr>
        <w:t xml:space="preserve"> </w:t>
      </w:r>
      <w:hyperlink r:id="rId10">
        <w:r w:rsidDel="00000000" w:rsidR="00000000" w:rsidRPr="00000000">
          <w:rPr>
            <w:b w:val="1"/>
            <w:color w:val="1154cc"/>
            <w:u w:val="single"/>
            <w:rtl w:val="0"/>
          </w:rPr>
          <w:t xml:space="preserve">001/2025 - PRE/UFSM</w:t>
        </w:r>
      </w:hyperlink>
      <w:r w:rsidDel="00000000" w:rsidR="00000000" w:rsidRPr="00000000">
        <w:rPr>
          <w:b w:val="1"/>
          <w:rtl w:val="0"/>
        </w:rPr>
        <w:t xml:space="preserve">)</w:t>
      </w:r>
    </w:p>
    <w:tbl>
      <w:tblPr>
        <w:tblStyle w:val="Table4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2850"/>
        <w:gridCol w:w="5655"/>
        <w:tblGridChange w:id="0">
          <w:tblGrid>
            <w:gridCol w:w="2850"/>
            <w:gridCol w:w="56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Benefício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50800" cy="165100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Informe o valor total previsto para o ano corrente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Alimentação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8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 Didático-pedagógico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Benefícios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ind w:left="0" w:firstLine="0"/>
        <w:rPr>
          <w:color w:val="1154cc"/>
          <w:u w:val="single"/>
        </w:rPr>
      </w:pPr>
      <w:r w:rsidDel="00000000" w:rsidR="00000000" w:rsidRPr="00000000">
        <w:rPr>
          <w:b w:val="1"/>
          <w:rtl w:val="0"/>
        </w:rPr>
        <w:t xml:space="preserve">6.3 Material de Consumo Almoxarifado Central: os materiais solicitados deverão ser essenciais para o desenvolvimento da ação de extensão durante o período de vigência do Edital.</w:t>
      </w:r>
      <w:r w:rsidDel="00000000" w:rsidR="00000000" w:rsidRPr="00000000">
        <w:rPr>
          <w:rtl w:val="0"/>
        </w:rPr>
        <w:t xml:space="preserve"> ( O pedido será avaliado e poderá ser contemplado total ou parcialmente, estando sujeito, ainda, a disponibilidade de estoque do Almoxarifado Central, disponível no link </w:t>
      </w:r>
      <w:hyperlink r:id="rId12">
        <w:r w:rsidDel="00000000" w:rsidR="00000000" w:rsidRPr="00000000">
          <w:rPr>
            <w:color w:val="1154cc"/>
            <w:u w:val="single"/>
            <w:rtl w:val="0"/>
          </w:rPr>
          <w:t xml:space="preserve">https://www.ufsm.br/orgaos-executivos/demapa/produtos-em-estoque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)</w:t>
      </w:r>
    </w:p>
    <w:p w:rsidR="00000000" w:rsidDel="00000000" w:rsidP="00000000" w:rsidRDefault="00000000" w:rsidRPr="00000000" w14:paraId="0000006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5"/>
        <w:tblW w:w="868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1560"/>
        <w:gridCol w:w="2310"/>
        <w:gridCol w:w="1530"/>
        <w:gridCol w:w="1590"/>
        <w:gridCol w:w="1695"/>
        <w:tblGridChange w:id="0">
          <w:tblGrid>
            <w:gridCol w:w="1560"/>
            <w:gridCol w:w="2310"/>
            <w:gridCol w:w="1530"/>
            <w:gridCol w:w="1590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73.6" w:lineRule="auto"/>
              <w:ind w:left="0" w:righ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do produto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60" w:line="288" w:lineRule="auto"/>
              <w:ind w:left="283.4645669291337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73.6" w:lineRule="auto"/>
              <w:ind w:left="141.7322834645671" w:right="2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60" w:line="288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60" w:line="288" w:lineRule="auto"/>
              <w:ind w:left="6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hanging="32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hanging="32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de Material de Consumo Almoxarifado Central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ind w:left="0" w:firstLine="0"/>
        <w:jc w:val="both"/>
        <w:rPr>
          <w:color w:val="1154cc"/>
          <w:u w:val="single"/>
        </w:rPr>
      </w:pPr>
      <w:r w:rsidDel="00000000" w:rsidR="00000000" w:rsidRPr="00000000">
        <w:rPr>
          <w:b w:val="1"/>
          <w:rtl w:val="0"/>
        </w:rPr>
        <w:t xml:space="preserve">6.3.1 Material de Consumo Registro de Preço: os materiais solicitados deverão ser essenciais para o desenvolvimento da ação de extensão durante o período de vigência do Edital.</w:t>
      </w:r>
      <w:r w:rsidDel="00000000" w:rsidR="00000000" w:rsidRPr="00000000">
        <w:rPr>
          <w:rtl w:val="0"/>
        </w:rPr>
        <w:t xml:space="preserve"> (O pedido será avaliado e poderá ser contemplado total ou parcialmente, estando sujeito, ainda a validade do registro de preços disponível no link </w:t>
      </w:r>
      <w:hyperlink r:id="rId13">
        <w:r w:rsidDel="00000000" w:rsidR="00000000" w:rsidRPr="00000000">
          <w:rPr>
            <w:color w:val="1154cc"/>
            <w:u w:val="single"/>
            <w:rtl w:val="0"/>
          </w:rPr>
          <w:t xml:space="preserve">https://www.ufsm.br/orgaos-executivos/demapa/registro-de-precos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)</w:t>
      </w:r>
    </w:p>
    <w:tbl>
      <w:tblPr>
        <w:tblStyle w:val="Table6"/>
        <w:tblW w:w="943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2220"/>
        <w:gridCol w:w="2400"/>
        <w:gridCol w:w="1530"/>
        <w:gridCol w:w="1590"/>
        <w:gridCol w:w="1695"/>
        <w:tblGridChange w:id="0">
          <w:tblGrid>
            <w:gridCol w:w="2220"/>
            <w:gridCol w:w="2400"/>
            <w:gridCol w:w="1530"/>
            <w:gridCol w:w="1590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73.6" w:lineRule="auto"/>
              <w:ind w:left="141.73228346456688" w:right="13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do Registro e Extrato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0" w:line="288" w:lineRule="auto"/>
              <w:ind w:left="5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73.6" w:lineRule="auto"/>
              <w:ind w:left="540" w:right="220" w:firstLine="14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0" w:line="288" w:lineRule="auto"/>
              <w:ind w:left="4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40" w:line="288" w:lineRule="auto"/>
              <w:ind w:left="6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de material de consumo Registro de Preços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6.3.2  Justificativa do material de consumo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Máx. 1.000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9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6.4 Transporte em carro oficial da UFSM: </w:t>
      </w:r>
      <w:r w:rsidDel="00000000" w:rsidR="00000000" w:rsidRPr="00000000">
        <w:rPr>
          <w:sz w:val="20"/>
          <w:szCs w:val="20"/>
          <w:rtl w:val="0"/>
        </w:rPr>
        <w:t xml:space="preserve">considerar os seguintes valores por quilômetro rodado e capacidade de passageiros de cada veículo</w:t>
      </w:r>
    </w:p>
    <w:p w:rsidR="00000000" w:rsidDel="00000000" w:rsidP="00000000" w:rsidRDefault="00000000" w:rsidRPr="00000000" w14:paraId="0000009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273.6" w:lineRule="auto"/>
        <w:ind w:left="300" w:right="88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Carro e Camioneta: R$ 1,90/km rodado - capacidade máxima de passageiros, com o motorista, 5 pessoas.</w:t>
      </w:r>
    </w:p>
    <w:p w:rsidR="00000000" w:rsidDel="00000000" w:rsidP="00000000" w:rsidRDefault="00000000" w:rsidRPr="00000000" w14:paraId="0000009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482.4" w:lineRule="auto"/>
        <w:ind w:left="300" w:right="842.5984251968515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VAN: R$ 2,20/km rodado. Capacidade máxima de 14 passageiros. </w:t>
        <w:br w:type="textWrapping"/>
        <w:t xml:space="preserve">Microonibus: R$ 4,00/km rodado. Capacidade máxima de 20 passageiros.</w:t>
        <w:br w:type="textWrapping"/>
        <w:t xml:space="preserve">Ônibus: R$ 6,30/km rodado.Capacidade máxima de 40 passageiros.</w:t>
      </w:r>
    </w:p>
    <w:p w:rsidR="00000000" w:rsidDel="00000000" w:rsidP="00000000" w:rsidRDefault="00000000" w:rsidRPr="00000000" w14:paraId="0000009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7"/>
        <w:tblW w:w="9637.511811023624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1483.8470751031705"/>
        <w:gridCol w:w="1723.660743806713"/>
        <w:gridCol w:w="1648.718972336856"/>
        <w:gridCol w:w="1648.718972336856"/>
        <w:gridCol w:w="1573.777200866999"/>
        <w:gridCol w:w="1558.7888465730275"/>
        <w:tblGridChange w:id="0">
          <w:tblGrid>
            <w:gridCol w:w="1483.8470751031705"/>
            <w:gridCol w:w="1723.660743806713"/>
            <w:gridCol w:w="1648.718972336856"/>
            <w:gridCol w:w="1648.718972336856"/>
            <w:gridCol w:w="1573.777200866999"/>
            <w:gridCol w:w="1558.7888465730275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2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5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820" w:right="160" w:hanging="1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viagens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quilômetros por viagem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total de quilômetros rodados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00" w:righ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Veículo (Carro, Camioneta, Van, Micro ou Ônibus)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2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total*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50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Santa Maria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20" w:right="10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-</w:t>
              <w:tab/>
              <w:t xml:space="preserve">Silveira Martins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8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76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45 km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70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135 km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6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Microonibus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2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R$ 540,00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50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420" w:firstLine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B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Plano de Trabalho Individual da Bolsa de Atuação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Máximo 1500 caracteres)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Demandas da ação para a UFSM/PRE/ODH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: (além do aporte financeiro, você pode neste campo descrever outras demandas que sejam necessárias para a realização das ações - Máximo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170" cy="266065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2040" y="3661560"/>
                          <a:ext cx="187920" cy="2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170" cy="266065"/>
                <wp:effectExtent b="0" l="0" r="0" 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Resolução 001/2013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que Dispõe sobre Concessão, Critérios de Acesso, Permanência e  Suspensão de Bolsas Estudantis</w:t>
      </w:r>
      <w:r w:rsidDel="00000000" w:rsidR="00000000" w:rsidRPr="00000000">
        <w:rPr>
          <w:sz w:val="24"/>
          <w:szCs w:val="24"/>
          <w:rtl w:val="0"/>
        </w:rPr>
        <w:t xml:space="preserve">  de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Ensino, Pesquisa e de Extensão da Universidade Federal de  Santa Maria.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6210" cy="28321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6210" cy="283210"/>
                <wp:effectExtent b="0" l="0" r="0" 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6210" cy="28321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6210" cy="283210"/>
                <wp:effectExtent b="0" l="0" r="0" 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" cy="283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default"/>
      <w:footerReference r:id="rId18" w:type="first"/>
      <w:pgSz w:h="16838" w:w="11906" w:orient="portrait"/>
      <w:pgMar w:bottom="2567" w:top="2082" w:left="1134" w:right="1134" w:header="1106" w:footer="340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18"/>
        <w:tab w:val="center" w:leader="none" w:pos="4818"/>
        <w:tab w:val="right" w:leader="none" w:pos="9638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76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0" w:line="240" w:lineRule="auto"/>
        <w:ind w:left="113" w:right="0" w:hanging="11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Deve-se identificar a ação com a respectiva meta, por exemplo, realizar uma oficina para 30 pessoas; capacitar 15 alunos, etc..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</w:t>
      </w:r>
      <w:r w:rsidDel="00000000" w:rsidR="00000000" w:rsidRPr="00000000">
        <w:rPr>
          <w:rtl w:val="0"/>
        </w:rPr>
        <w:t xml:space="preserve">execução.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818"/>
        <w:tab w:val="right" w:leader="none" w:pos="9638"/>
      </w:tabs>
      <w:spacing w:after="200" w:before="0" w:line="276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360" w:lineRule="auto"/>
      <w:ind w:firstLine="1644"/>
      <w:jc w:val="both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832" distR="114832" hidden="0" layoutInCell="1" locked="0" relativeHeight="0" simplePos="0">
          <wp:simplePos x="0" y="0"/>
          <wp:positionH relativeFrom="column">
            <wp:posOffset>-95247</wp:posOffset>
          </wp:positionH>
          <wp:positionV relativeFrom="paragraph">
            <wp:posOffset>87517</wp:posOffset>
          </wp:positionV>
          <wp:extent cx="850266" cy="841266"/>
          <wp:effectExtent b="0" l="0" r="0" t="0"/>
          <wp:wrapSquare wrapText="bothSides" distB="0" distT="0" distL="114832" distR="114832"/>
          <wp:docPr id="1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266" cy="8412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360" w:lineRule="auto"/>
      <w:ind w:firstLine="1644"/>
      <w:jc w:val="both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360" w:lineRule="auto"/>
      <w:ind w:firstLine="1644"/>
      <w:jc w:val="both"/>
      <w:rPr>
        <w:color w:val="000000"/>
        <w:shd w:fill="auto" w:val="clear"/>
      </w:rPr>
    </w:pPr>
    <w:r w:rsidDel="00000000" w:rsidR="00000000" w:rsidRPr="00000000">
      <w:rPr>
        <w:b w:val="1"/>
        <w:color w:val="000000"/>
        <w:rtl w:val="0"/>
      </w:rPr>
      <w:t xml:space="preserve">PRÓ-REITORIA DE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360" w:lineRule="auto"/>
      <w:ind w:firstLine="1644"/>
      <w:jc w:val="both"/>
      <w:rPr>
        <w:color w:val="000000"/>
      </w:rPr>
    </w:pPr>
    <w:r w:rsidDel="00000000" w:rsidR="00000000" w:rsidRPr="00000000">
      <w:rPr>
        <w:b w:val="1"/>
        <w:color w:val="000000"/>
        <w:shd w:fill="auto" w:val="clear"/>
        <w:rtl w:val="0"/>
      </w:rPr>
      <w:t xml:space="preserve">COORDENADORIA DE DESENVOLVIMENTO REGIONAL E CIDADANIA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360" w:lineRule="auto"/>
      <w:ind w:firstLine="1644"/>
      <w:jc w:val="both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OBSERVATÓRIO DE DIREITOS HUMANOS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0" w:line="360" w:lineRule="auto"/>
      <w:ind w:left="0" w:right="0" w:firstLine="147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4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4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3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character" w:styleId="746">
    <w:name w:val="Heading 1 Char"/>
    <w:link w:val="919"/>
    <w:uiPriority w:val="9"/>
    <w:rPr>
      <w:rFonts w:ascii="Arial" w:cs="Arial" w:eastAsia="Arial" w:hAnsi="Arial"/>
      <w:sz w:val="40"/>
      <w:szCs w:val="40"/>
    </w:rPr>
  </w:style>
  <w:style w:type="character" w:styleId="747">
    <w:name w:val="Heading 2 Char"/>
    <w:link w:val="920"/>
    <w:uiPriority w:val="9"/>
    <w:rPr>
      <w:rFonts w:ascii="Arial" w:cs="Arial" w:eastAsia="Arial" w:hAnsi="Arial"/>
      <w:sz w:val="34"/>
    </w:rPr>
  </w:style>
  <w:style w:type="character" w:styleId="748">
    <w:name w:val="Heading 3 Char"/>
    <w:link w:val="921"/>
    <w:uiPriority w:val="9"/>
    <w:rPr>
      <w:rFonts w:ascii="Arial" w:cs="Arial" w:eastAsia="Arial" w:hAnsi="Arial"/>
      <w:sz w:val="30"/>
      <w:szCs w:val="30"/>
    </w:rPr>
  </w:style>
  <w:style w:type="character" w:styleId="749">
    <w:name w:val="Heading 4 Char"/>
    <w:link w:val="922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750">
    <w:name w:val="Heading 5 Char"/>
    <w:link w:val="923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751">
    <w:name w:val="Heading 6 Char"/>
    <w:link w:val="924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752">
    <w:name w:val="Heading 7"/>
    <w:basedOn w:val="917"/>
    <w:next w:val="917"/>
    <w:link w:val="753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753">
    <w:name w:val="Heading 7 Char"/>
    <w:link w:val="752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754">
    <w:name w:val="Heading 8"/>
    <w:basedOn w:val="917"/>
    <w:next w:val="917"/>
    <w:link w:val="755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755">
    <w:name w:val="Heading 8 Char"/>
    <w:link w:val="754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756">
    <w:name w:val="Heading 9"/>
    <w:basedOn w:val="917"/>
    <w:next w:val="917"/>
    <w:link w:val="757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757">
    <w:name w:val="Heading 9 Char"/>
    <w:link w:val="756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758">
    <w:name w:val="List Paragraph"/>
    <w:basedOn w:val="917"/>
    <w:uiPriority w:val="34"/>
    <w:qFormat w:val="1"/>
    <w:pPr>
      <w:ind w:left="720"/>
      <w:contextualSpacing w:val="1"/>
    </w:pPr>
  </w:style>
  <w:style w:type="table" w:styleId="759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760">
    <w:name w:val="No Spacing"/>
    <w:uiPriority w:val="1"/>
    <w:qFormat w:val="1"/>
    <w:pPr>
      <w:spacing w:after="0" w:before="0" w:line="240" w:lineRule="auto"/>
    </w:pPr>
  </w:style>
  <w:style w:type="character" w:styleId="761">
    <w:name w:val="Title Char"/>
    <w:link w:val="925"/>
    <w:uiPriority w:val="10"/>
    <w:rPr>
      <w:sz w:val="48"/>
      <w:szCs w:val="48"/>
    </w:rPr>
  </w:style>
  <w:style w:type="character" w:styleId="762">
    <w:name w:val="Subtitle Char"/>
    <w:link w:val="926"/>
    <w:uiPriority w:val="11"/>
    <w:rPr>
      <w:sz w:val="24"/>
      <w:szCs w:val="24"/>
    </w:rPr>
  </w:style>
  <w:style w:type="paragraph" w:styleId="763">
    <w:name w:val="Quote"/>
    <w:basedOn w:val="917"/>
    <w:next w:val="917"/>
    <w:link w:val="764"/>
    <w:uiPriority w:val="29"/>
    <w:qFormat w:val="1"/>
    <w:pPr>
      <w:ind w:left="720" w:right="720"/>
    </w:pPr>
    <w:rPr>
      <w:i w:val="1"/>
    </w:rPr>
  </w:style>
  <w:style w:type="character" w:styleId="764">
    <w:name w:val="Quote Char"/>
    <w:link w:val="763"/>
    <w:uiPriority w:val="29"/>
    <w:rPr>
      <w:i w:val="1"/>
    </w:rPr>
  </w:style>
  <w:style w:type="paragraph" w:styleId="765">
    <w:name w:val="Intense Quote"/>
    <w:basedOn w:val="917"/>
    <w:next w:val="917"/>
    <w:link w:val="766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766">
    <w:name w:val="Intense Quote Char"/>
    <w:link w:val="765"/>
    <w:uiPriority w:val="30"/>
    <w:rPr>
      <w:i w:val="1"/>
    </w:rPr>
  </w:style>
  <w:style w:type="paragraph" w:styleId="767">
    <w:name w:val="Header"/>
    <w:basedOn w:val="917"/>
    <w:link w:val="768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768">
    <w:name w:val="Header Char"/>
    <w:link w:val="767"/>
    <w:uiPriority w:val="99"/>
  </w:style>
  <w:style w:type="paragraph" w:styleId="769">
    <w:name w:val="Footer"/>
    <w:basedOn w:val="917"/>
    <w:link w:val="772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770">
    <w:name w:val="Footer Char"/>
    <w:link w:val="769"/>
    <w:uiPriority w:val="99"/>
  </w:style>
  <w:style w:type="paragraph" w:styleId="771">
    <w:name w:val="Caption"/>
    <w:basedOn w:val="917"/>
    <w:next w:val="917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</w:style>
  <w:style w:type="table" w:styleId="773">
    <w:name w:val="Table Grid"/>
    <w:basedOn w:val="759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74">
    <w:name w:val="Table Grid Light"/>
    <w:basedOn w:val="759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775">
    <w:name w:val="Plain Table 1"/>
    <w:basedOn w:val="759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776">
    <w:name w:val="Plain Table 2"/>
    <w:basedOn w:val="759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777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778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79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80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1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2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3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4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5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6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787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88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89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0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1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2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3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4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5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6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7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8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99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00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801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802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803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804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05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06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7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08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Fill="text1" w:themeFillTint="000040" w:themeTint="000040" w:val="clear"/>
    </w:tblPr>
    <w:tblStylePr w:type="band1Horz">
      <w:tcPr>
        <w:shd w:color="ffffff" w:themeColor="text1" w:themeFill="text1" w:themeFillTint="000075" w:themeTint="000075" w:val="clear"/>
      </w:tcPr>
    </w:tblStylePr>
    <w:tblStylePr w:type="band1Vert">
      <w:tcPr>
        <w:shd w:color="ffffff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themeFill="text1" w:val="clear"/>
      </w:tcPr>
    </w:tblStylePr>
  </w:style>
  <w:style w:type="table" w:styleId="809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Fill="accent1" w:themeFillTint="000034" w:themeTint="000034" w:val="clear"/>
    </w:tblPr>
    <w:tblStylePr w:type="band1Horz">
      <w:tcPr>
        <w:shd w:color="ffffff" w:themeColor="accent1" w:themeFill="accent1" w:themeFillTint="000075" w:themeTint="000075" w:val="clear"/>
      </w:tcPr>
    </w:tblStylePr>
    <w:tblStylePr w:type="band1Vert">
      <w:tcPr>
        <w:shd w:color="ffffff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themeFill="accent1" w:val="clear"/>
      </w:tcPr>
    </w:tblStylePr>
  </w:style>
  <w:style w:type="table" w:styleId="810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Fill="accent2" w:themeFillTint="000032" w:themeTint="000032" w:val="clear"/>
    </w:tblPr>
    <w:tblStylePr w:type="band1Horz">
      <w:tcPr>
        <w:shd w:color="ffffff" w:themeColor="accent2" w:themeFill="accent2" w:themeFillTint="000075" w:themeTint="000075" w:val="clear"/>
      </w:tcPr>
    </w:tblStylePr>
    <w:tblStylePr w:type="band1Vert">
      <w:tcPr>
        <w:shd w:color="ffffff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themeFill="accent2" w:val="clear"/>
      </w:tcPr>
    </w:tblStylePr>
  </w:style>
  <w:style w:type="table" w:styleId="811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Fill="accent3" w:themeFillTint="000034" w:themeTint="000034" w:val="clear"/>
    </w:tblPr>
    <w:tblStylePr w:type="band1Horz">
      <w:tcPr>
        <w:shd w:color="ffffff" w:themeColor="accent3" w:themeFill="accent3" w:themeFillTint="000075" w:themeTint="000075" w:val="clear"/>
      </w:tcPr>
    </w:tblStylePr>
    <w:tblStylePr w:type="band1Vert">
      <w:tcPr>
        <w:shd w:color="ffffff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themeFill="accent3" w:val="clear"/>
      </w:tcPr>
    </w:tblStylePr>
  </w:style>
  <w:style w:type="table" w:styleId="812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Fill="accent4" w:themeFillTint="000034" w:themeTint="000034" w:val="clear"/>
    </w:tblPr>
    <w:tblStylePr w:type="band1Horz">
      <w:tcPr>
        <w:shd w:color="ffffff" w:themeColor="accent4" w:themeFill="accent4" w:themeFillTint="000075" w:themeTint="000075" w:val="clear"/>
      </w:tcPr>
    </w:tblStylePr>
    <w:tblStylePr w:type="band1Vert">
      <w:tcPr>
        <w:shd w:color="ffffff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themeFill="accent4" w:val="clear"/>
      </w:tcPr>
    </w:tblStylePr>
  </w:style>
  <w:style w:type="table" w:styleId="813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Fill="accent5" w:themeFillTint="000034" w:themeTint="000034" w:val="clear"/>
    </w:tblPr>
    <w:tblStylePr w:type="band1Horz">
      <w:tcPr>
        <w:shd w:color="ffffff" w:themeColor="accent5" w:themeFill="accent5" w:themeFillTint="000075" w:themeTint="000075" w:val="clear"/>
      </w:tcPr>
    </w:tblStylePr>
    <w:tblStylePr w:type="band1Vert">
      <w:tcPr>
        <w:shd w:color="ffffff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themeFill="accent5" w:val="clear"/>
      </w:tcPr>
    </w:tblStylePr>
  </w:style>
  <w:style w:type="table" w:styleId="814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Fill="accent6" w:themeFillTint="000034" w:themeTint="000034" w:val="clear"/>
    </w:tblPr>
    <w:tblStylePr w:type="band1Horz">
      <w:tcPr>
        <w:shd w:color="ffffff" w:themeColor="accent6" w:themeFill="accent6" w:themeFillTint="000075" w:themeTint="000075" w:val="clear"/>
      </w:tcPr>
    </w:tblStylePr>
    <w:tblStylePr w:type="band1Vert">
      <w:tcPr>
        <w:shd w:color="ffffff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themeFill="accent6" w:val="clear"/>
      </w:tcPr>
    </w:tblStylePr>
  </w:style>
  <w:style w:type="table" w:styleId="815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tcPr>
        <w:shd w:color="ffffff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16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817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818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819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820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821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822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3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4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5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6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7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8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</w:style>
  <w:style w:type="table" w:styleId="829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0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1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2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3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4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5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836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837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838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839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840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841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842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843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44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45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46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47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48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49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0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1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2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3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4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5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6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857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865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866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867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868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69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870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871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872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873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874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875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876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877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878">
    <w:name w:val="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879">
    <w:name w:val="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880">
    <w:name w:val="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881">
    <w:name w:val="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882">
    <w:name w:val="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883">
    <w:name w:val="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884">
    <w:name w:val="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885">
    <w:name w:val="Bordered &amp; 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886">
    <w:name w:val="Bordered &amp; 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887">
    <w:name w:val="Bordered &amp; 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888">
    <w:name w:val="Bordered &amp; 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889">
    <w:name w:val="Bordered &amp; 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890">
    <w:name w:val="Bordered &amp; 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891">
    <w:name w:val="Bordered &amp; 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892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893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894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895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896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897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898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899">
    <w:name w:val="Hyperlink"/>
    <w:uiPriority w:val="99"/>
    <w:unhideWhenUsed w:val="1"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uiPriority w:val="99"/>
    <w:unhideWhenUsed w:val="1"/>
    <w:rPr>
      <w:vertAlign w:val="superscript"/>
    </w:rPr>
  </w:style>
  <w:style w:type="paragraph" w:styleId="903">
    <w:name w:val="endnote text"/>
    <w:basedOn w:val="917"/>
    <w:link w:val="904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uiPriority w:val="99"/>
    <w:semiHidden w:val="1"/>
    <w:unhideWhenUsed w:val="1"/>
    <w:rPr>
      <w:vertAlign w:val="superscript"/>
    </w:rPr>
  </w:style>
  <w:style w:type="paragraph" w:styleId="906">
    <w:name w:val="toc 1"/>
    <w:basedOn w:val="917"/>
    <w:next w:val="917"/>
    <w:uiPriority w:val="39"/>
    <w:unhideWhenUsed w:val="1"/>
    <w:pPr>
      <w:spacing w:after="57"/>
      <w:ind w:left="0" w:right="0" w:firstLine="0"/>
    </w:pPr>
  </w:style>
  <w:style w:type="paragraph" w:styleId="907">
    <w:name w:val="toc 2"/>
    <w:basedOn w:val="917"/>
    <w:next w:val="917"/>
    <w:uiPriority w:val="39"/>
    <w:unhideWhenUsed w:val="1"/>
    <w:pPr>
      <w:spacing w:after="57"/>
      <w:ind w:left="283" w:right="0" w:firstLine="0"/>
    </w:pPr>
  </w:style>
  <w:style w:type="paragraph" w:styleId="908">
    <w:name w:val="toc 3"/>
    <w:basedOn w:val="917"/>
    <w:next w:val="917"/>
    <w:uiPriority w:val="39"/>
    <w:unhideWhenUsed w:val="1"/>
    <w:pPr>
      <w:spacing w:after="57"/>
      <w:ind w:left="567" w:right="0" w:firstLine="0"/>
    </w:pPr>
  </w:style>
  <w:style w:type="paragraph" w:styleId="909">
    <w:name w:val="toc 4"/>
    <w:basedOn w:val="917"/>
    <w:next w:val="917"/>
    <w:uiPriority w:val="39"/>
    <w:unhideWhenUsed w:val="1"/>
    <w:pPr>
      <w:spacing w:after="57"/>
      <w:ind w:left="850" w:right="0" w:firstLine="0"/>
    </w:pPr>
  </w:style>
  <w:style w:type="paragraph" w:styleId="910">
    <w:name w:val="toc 5"/>
    <w:basedOn w:val="917"/>
    <w:next w:val="917"/>
    <w:uiPriority w:val="39"/>
    <w:unhideWhenUsed w:val="1"/>
    <w:pPr>
      <w:spacing w:after="57"/>
      <w:ind w:left="1134" w:right="0" w:firstLine="0"/>
    </w:pPr>
  </w:style>
  <w:style w:type="paragraph" w:styleId="911">
    <w:name w:val="toc 6"/>
    <w:basedOn w:val="917"/>
    <w:next w:val="917"/>
    <w:uiPriority w:val="39"/>
    <w:unhideWhenUsed w:val="1"/>
    <w:pPr>
      <w:spacing w:after="57"/>
      <w:ind w:left="1417" w:right="0" w:firstLine="0"/>
    </w:pPr>
  </w:style>
  <w:style w:type="paragraph" w:styleId="912">
    <w:name w:val="toc 7"/>
    <w:basedOn w:val="917"/>
    <w:next w:val="917"/>
    <w:uiPriority w:val="39"/>
    <w:unhideWhenUsed w:val="1"/>
    <w:pPr>
      <w:spacing w:after="57"/>
      <w:ind w:left="1701" w:right="0" w:firstLine="0"/>
    </w:pPr>
  </w:style>
  <w:style w:type="paragraph" w:styleId="913">
    <w:name w:val="toc 8"/>
    <w:basedOn w:val="917"/>
    <w:next w:val="917"/>
    <w:uiPriority w:val="39"/>
    <w:unhideWhenUsed w:val="1"/>
    <w:pPr>
      <w:spacing w:after="57"/>
      <w:ind w:left="1984" w:right="0" w:firstLine="0"/>
    </w:pPr>
  </w:style>
  <w:style w:type="paragraph" w:styleId="914">
    <w:name w:val="toc 9"/>
    <w:basedOn w:val="917"/>
    <w:next w:val="917"/>
    <w:uiPriority w:val="39"/>
    <w:unhideWhenUsed w:val="1"/>
    <w:pPr>
      <w:spacing w:after="57"/>
      <w:ind w:left="2268" w:right="0" w:firstLine="0"/>
    </w:pPr>
  </w:style>
  <w:style w:type="paragraph" w:styleId="915">
    <w:name w:val="TOC Heading"/>
    <w:uiPriority w:val="39"/>
    <w:unhideWhenUsed w:val="1"/>
  </w:style>
  <w:style w:type="paragraph" w:styleId="916">
    <w:name w:val="table of figures"/>
    <w:basedOn w:val="917"/>
    <w:next w:val="917"/>
    <w:uiPriority w:val="99"/>
    <w:unhideWhenUsed w:val="1"/>
    <w:pPr>
      <w:spacing w:after="0" w:afterAutospacing="0"/>
    </w:pPr>
  </w:style>
  <w:style w:type="paragraph" w:styleId="917" w:default="1">
    <w:name w:val="Normal"/>
  </w:style>
  <w:style w:type="table" w:styleId="918" w:default="1">
    <w:name w:val="Table Normal"/>
    <w:tblPr/>
  </w:style>
  <w:style w:type="paragraph" w:styleId="919">
    <w:name w:val="Heading 1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4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color="auto" w:fill="auto" w:val="clear"/>
      <w:vertAlign w:val="baseline"/>
    </w:rPr>
  </w:style>
  <w:style w:type="paragraph" w:styleId="920">
    <w:name w:val="Heading 2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color="auto" w:fill="auto" w:val="clear"/>
      <w:vertAlign w:val="baseline"/>
    </w:rPr>
  </w:style>
  <w:style w:type="paragraph" w:styleId="921">
    <w:name w:val="Heading 3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color="auto" w:fill="auto" w:val="clear"/>
      <w:vertAlign w:val="baseline"/>
    </w:rPr>
  </w:style>
  <w:style w:type="paragraph" w:styleId="922">
    <w:name w:val="Heading 4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color="auto" w:fill="auto" w:val="clear"/>
      <w:vertAlign w:val="baseline"/>
    </w:rPr>
  </w:style>
  <w:style w:type="paragraph" w:styleId="923">
    <w:name w:val="Heading 5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color="auto" w:fill="auto" w:val="clear"/>
      <w:vertAlign w:val="baseline"/>
    </w:rPr>
  </w:style>
  <w:style w:type="paragraph" w:styleId="924">
    <w:name w:val="Heading 6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color="auto" w:fill="auto" w:val="clear"/>
      <w:vertAlign w:val="baseline"/>
    </w:rPr>
  </w:style>
  <w:style w:type="paragraph" w:styleId="925">
    <w:name w:val="Title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3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8"/>
      <w:szCs w:val="48"/>
      <w:u w:val="none"/>
      <w:shd w:color="auto" w:fill="auto" w:val="clear"/>
      <w:vertAlign w:val="baseline"/>
    </w:rPr>
  </w:style>
  <w:style w:type="paragraph" w:styleId="926">
    <w:name w:val="Subtitle"/>
    <w:basedOn w:val="917"/>
    <w:next w:val="917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200" w:before="2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color="auto" w:fill="auto" w:val="clear"/>
      <w:vertAlign w:val="baseline"/>
    </w:rPr>
  </w:style>
  <w:style w:type="table" w:styleId="927">
    <w:name w:val="StGen0"/>
    <w:basedOn w:val="918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character" w:styleId="928" w:default="1">
    <w:name w:val="Default Paragraph Font"/>
    <w:uiPriority w:val="1"/>
    <w:semiHidden w:val="1"/>
    <w:unhideWhenUsed w:val="1"/>
  </w:style>
  <w:style w:type="numbering" w:styleId="929" w:default="1">
    <w:name w:val="No List"/>
    <w:uiPriority w:val="99"/>
    <w:semiHidden w:val="1"/>
    <w:unhideWhenUsed w:val="1"/>
  </w:style>
  <w:style w:type="paragraph" w:styleId="1_1396" w:customStyle="1">
    <w:name w:val="Text body"/>
    <w:basedOn w:val="953"/>
    <w:qFormat w:val="1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spacing w:after="140" w:afterAutospacing="0" w:before="0" w:beforeAutospacing="0" w:line="288" w:lineRule="auto"/>
      <w:ind w:left="0" w:right="0" w:firstLine="0"/>
      <w:contextualSpacing w:val="0"/>
      <w:jc w:val="left"/>
    </w:pPr>
    <w:rPr>
      <w:rFonts w:ascii="Liberation Serif" w:cs="Liberation Serif" w:eastAsia="Times New Roman" w:hAnsi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bidi="ar-SA" w:eastAsia="zh-CN" w:val="pt-BR"/>
    </w:rPr>
  </w:style>
  <w:style w:type="paragraph" w:styleId="1_1395" w:customStyle="1">
    <w:name w:val="Standard"/>
    <w:basedOn w:val="952"/>
    <w:qFormat w:val="1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spacing w:after="200" w:afterAutospacing="0" w:before="0" w:beforeAutospacing="0" w:line="276" w:lineRule="auto"/>
      <w:ind w:left="0" w:right="0" w:firstLine="0"/>
      <w:contextualSpacing w:val="0"/>
      <w:jc w:val="left"/>
    </w:pPr>
    <w:rPr>
      <w:rFonts w:ascii="Liberation Serif" w:cs="Liberation Serif" w:eastAsia="Times New Roman" w:hAnsi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bidi="ar-SA" w:eastAsia="zh-CN" w:val="pt-BR"/>
    </w:rPr>
  </w:style>
  <w:style w:type="paragraph" w:styleId="1_1397" w:customStyle="1">
    <w:name w:val="Table Contents"/>
    <w:basedOn w:val="953"/>
    <w:qFormat w:val="1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spacing w:after="200" w:afterAutospacing="0" w:before="0" w:beforeAutospacing="0" w:line="276" w:lineRule="auto"/>
      <w:ind w:left="0" w:right="0" w:firstLine="0"/>
      <w:contextualSpacing w:val="0"/>
      <w:jc w:val="left"/>
    </w:pPr>
    <w:rPr>
      <w:rFonts w:ascii="Liberation Serif" w:cs="Liberation Serif" w:eastAsia="Times New Roman" w:hAnsi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bidi="ar-SA" w:eastAsia="zh-CN" w:val="pt-B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200" w:before="2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www.ufsm.br/pro-reitorias/proplan/instrucao-normativa-pre-ufsm-n-001-2025" TargetMode="External"/><Relationship Id="rId13" Type="http://schemas.openxmlformats.org/officeDocument/2006/relationships/hyperlink" Target="https://www.ufsm.br/orgaos-executivos/demapa/registro-de-precos" TargetMode="External"/><Relationship Id="rId12" Type="http://schemas.openxmlformats.org/officeDocument/2006/relationships/hyperlink" Target="https://www.ufsm.br/orgaos-executivos/demapa/produtos-em-estoq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ufsm.br/pro-reitorias/proplan/instrucao-normativa-pre-ufsm-n-001-2025" TargetMode="External"/><Relationship Id="rId15" Type="http://schemas.openxmlformats.org/officeDocument/2006/relationships/header" Target="header1.xml"/><Relationship Id="rId14" Type="http://schemas.openxmlformats.org/officeDocument/2006/relationships/image" Target="media/image4.png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2.xml"/><Relationship Id="rId7" Type="http://schemas.openxmlformats.org/officeDocument/2006/relationships/customXml" Target="../customXML/item1.xml"/><Relationship Id="rId8" Type="http://schemas.openxmlformats.org/officeDocument/2006/relationships/hyperlink" Target="https://www.ufsm.br/pro-reitorias/proplan/instrucao-normativa-pre-ufsm-n-001-2025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3Um7haIzwAMXFze5bThUUMCt6w==">CgMxLjA4AHIhMU04dEtpQWlmUzhIZ0xfQ0dHTnB5Z1dEWXp5RkVYSmpR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