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40.8661417322827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ind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40.866141732282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CRITÉRIOS DE AVALIAÇÃO DE PROPOSTA</w:t>
      </w:r>
    </w:p>
    <w:p w:rsidR="00000000" w:rsidDel="00000000" w:rsidP="00000000" w:rsidRDefault="00000000" w:rsidRPr="00000000" w14:paraId="00000004">
      <w:pPr>
        <w:spacing w:line="240" w:lineRule="auto"/>
        <w:ind w:right="-40.8661417322827" w:firstLine="0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EDITAL FIEX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40.8661417322827" w:firstLine="72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40.8661417322827"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atribuição de pontuação deverá seguir,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obrigatoriamente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os critérios e valores indicados em cada alternativa desta ficha, não sendo permitidas alterações ou adaptações.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Orientação: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Para cada critério, assinale: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não contempla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contempla parcialmente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ou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contempla totalmente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considerando a descrição no enunciado.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0" w:before="0" w:line="276" w:lineRule="auto"/>
        <w:ind w:right="-40.8661417322827"/>
        <w:jc w:val="both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5akjn9fslr0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276" w:lineRule="auto"/>
        <w:ind w:right="-40.8661417322827"/>
        <w:jc w:val="both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zaxqhzo1vt67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1. Caracterização da Proposta e Compatibilidade Orçamentária (Máximo 1,0 ponto).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0" w:before="0" w:line="276" w:lineRule="auto"/>
        <w:ind w:right="-40.8661417322827"/>
        <w:jc w:val="both"/>
        <w:rPr>
          <w:color w:val="000000"/>
          <w:sz w:val="24"/>
          <w:szCs w:val="24"/>
          <w:highlight w:val="white"/>
        </w:rPr>
      </w:pPr>
      <w:bookmarkStart w:colFirst="0" w:colLast="0" w:name="_heading=h.lseav1ts0nb6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Enunciado: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Avalie se a ficha de inscrição (Anexo A) apresenta informações completas, detalhadas e coerentes com o relatório da ação (Portal de Projetos), incluindo: objetivos claros, descrição das atividades, público-alvo e recursos necessários. E verifique se o orçamento está compatível com as atividades previstas, justificado e adequado em relação à proposta.</w:t>
      </w:r>
    </w:p>
    <w:p w:rsidR="00000000" w:rsidDel="00000000" w:rsidP="00000000" w:rsidRDefault="00000000" w:rsidRPr="00000000" w14:paraId="0000000A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0,0 - Não contempla</w:t>
      </w:r>
    </w:p>
    <w:p w:rsidR="00000000" w:rsidDel="00000000" w:rsidP="00000000" w:rsidRDefault="00000000" w:rsidRPr="00000000" w14:paraId="0000000B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0,5 - Contempla parcialmente</w:t>
      </w:r>
    </w:p>
    <w:p w:rsidR="00000000" w:rsidDel="00000000" w:rsidP="00000000" w:rsidRDefault="00000000" w:rsidRPr="00000000" w14:paraId="0000000C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1,0 - Contempla totalmente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tabs>
          <w:tab w:val="left" w:leader="none" w:pos="1134"/>
        </w:tabs>
        <w:spacing w:after="0" w:before="0" w:line="276" w:lineRule="auto"/>
        <w:ind w:right="-40.8661417322827"/>
        <w:jc w:val="both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mcvnkqffurxb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2. Equipe Interdisciplinar e Interprofissional (Máximo 1,0 ponto).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Enunciado: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Avalie se a equipe envolvida na ação apresenta diversidade de perfis e áreas de atuação, garantindo pluralidade de competências e colaboração interdisciplinar/interprofissional. 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Observe: Docentes de diferentes cursos/departamentos; discentes de diferentes cursos ou níveis/etapas educacionais (graduação, pós-graduação, técnico, ensino médio); Técnicos Administrativos de diferentes setores; integrantes externos à UFSM, quando aplicável. 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0,0 - Não contempla</w:t>
      </w:r>
    </w:p>
    <w:p w:rsidR="00000000" w:rsidDel="00000000" w:rsidP="00000000" w:rsidRDefault="00000000" w:rsidRPr="00000000" w14:paraId="00000012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0,5 - Contempla parcialmente</w:t>
      </w:r>
    </w:p>
    <w:p w:rsidR="00000000" w:rsidDel="00000000" w:rsidP="00000000" w:rsidRDefault="00000000" w:rsidRPr="00000000" w14:paraId="00000013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1,0 - Contempla totalmente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spacing w:line="276" w:lineRule="auto"/>
        <w:ind w:right="-40.866141732282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3. Indissociabilidade entre Extensão, Ensino e Pesquisa (Máximo 1,5 ponto).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Enunciado: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Avalie se a proposta apresenta articulação de forma clara e consistente entre os três eixos: extensão, ensino e pesquisa. 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Verifique se a proposta: Relaciona atividades de extensão com ações de ensino (ex: formação de estudantes) e pesquisa; Demonstra como essa articulação impacta efetivamente na formação acadêmica e prática dos(as) estudantes.</w:t>
      </w:r>
    </w:p>
    <w:p w:rsidR="00000000" w:rsidDel="00000000" w:rsidP="00000000" w:rsidRDefault="00000000" w:rsidRPr="00000000" w14:paraId="00000018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0,0 - Não contempla</w:t>
      </w:r>
    </w:p>
    <w:p w:rsidR="00000000" w:rsidDel="00000000" w:rsidP="00000000" w:rsidRDefault="00000000" w:rsidRPr="00000000" w14:paraId="00000019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0,8 - Contempla parcialmente</w:t>
      </w:r>
    </w:p>
    <w:p w:rsidR="00000000" w:rsidDel="00000000" w:rsidP="00000000" w:rsidRDefault="00000000" w:rsidRPr="00000000" w14:paraId="0000001A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1,5 - Contempla totalmente</w:t>
      </w:r>
    </w:p>
    <w:p w:rsidR="00000000" w:rsidDel="00000000" w:rsidP="00000000" w:rsidRDefault="00000000" w:rsidRPr="00000000" w14:paraId="0000001B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line="276" w:lineRule="auto"/>
        <w:ind w:right="-40.866141732282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spacing w:line="276" w:lineRule="auto"/>
        <w:ind w:right="-40.866141732282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4. Abrangência da Ação (Máximo 1,0 ponto).</w:t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Enunciado: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Avalie se a proposta contempla um público-alvo numeroso e/ou diversificado e/ou abrangente do ponto de vista geográfico.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spacing w:line="276" w:lineRule="auto"/>
        <w:ind w:right="-40.8661417322827"/>
        <w:jc w:val="both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Considere: Se a ação possui uma abrangência local (uma escola, uma empresa) ou se a abrangência é mais ampla, em escala municipal, regional, estadual ou nacional; Diversidade do público-alvo (comunidade) e/ou quantitativo de pessoas atingidas na comunidade; Potencial de replicação ou extensão da ação para diferentes comunidades.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0,0 - Não contempla</w:t>
      </w:r>
    </w:p>
    <w:p w:rsidR="00000000" w:rsidDel="00000000" w:rsidP="00000000" w:rsidRDefault="00000000" w:rsidRPr="00000000" w14:paraId="00000021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0,5 - Contempla parcialmente</w:t>
      </w:r>
    </w:p>
    <w:p w:rsidR="00000000" w:rsidDel="00000000" w:rsidP="00000000" w:rsidRDefault="00000000" w:rsidRPr="00000000" w14:paraId="00000022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1,0 - Contempla totalmente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</w:tabs>
        <w:spacing w:line="276" w:lineRule="auto"/>
        <w:ind w:right="-40.866141732282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5. Potencial de Transformação Social (Máximo 2,0 pontos).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Enunciado: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Avalie se a ação contempla possibilidades de gerar mudanças significativas na comunidade ou no público-alvo. 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Considere: Relevância das soluções propostas; Impacto social esperado; Potencial de transformação de curto e longo prazo, incluindo benefícios sociais, culturais ou educativos.</w:t>
      </w:r>
    </w:p>
    <w:p w:rsidR="00000000" w:rsidDel="00000000" w:rsidP="00000000" w:rsidRDefault="00000000" w:rsidRPr="00000000" w14:paraId="00000027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0,0 - Não contempla</w:t>
      </w:r>
    </w:p>
    <w:p w:rsidR="00000000" w:rsidDel="00000000" w:rsidP="00000000" w:rsidRDefault="00000000" w:rsidRPr="00000000" w14:paraId="00000028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1,0 - Contempla parcialmente</w:t>
      </w:r>
    </w:p>
    <w:p w:rsidR="00000000" w:rsidDel="00000000" w:rsidP="00000000" w:rsidRDefault="00000000" w:rsidRPr="00000000" w14:paraId="00000029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2,0 - Contempla totalmente</w:t>
      </w:r>
    </w:p>
    <w:p w:rsidR="00000000" w:rsidDel="00000000" w:rsidP="00000000" w:rsidRDefault="00000000" w:rsidRPr="00000000" w14:paraId="0000002A">
      <w:pPr>
        <w:tabs>
          <w:tab w:val="left" w:leader="none" w:pos="1134"/>
        </w:tabs>
        <w:spacing w:line="276" w:lineRule="auto"/>
        <w:ind w:right="-40.866141732282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</w:tabs>
        <w:spacing w:line="276" w:lineRule="auto"/>
        <w:ind w:right="-40.866141732282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6. Plano de atividade dos bolsistas (Máximo 1,0 ponto).</w:t>
      </w:r>
    </w:p>
    <w:p w:rsidR="00000000" w:rsidDel="00000000" w:rsidP="00000000" w:rsidRDefault="00000000" w:rsidRPr="00000000" w14:paraId="0000002C">
      <w:pPr>
        <w:tabs>
          <w:tab w:val="left" w:leader="none" w:pos="1134"/>
        </w:tabs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Enunciado: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Avalie se o plano de atividades dos bolsistas está detalhado, demonstra objetivos claros para cada bolsista, cronograma compatível com as atividades da ação e envolvimento efetivo e formativo dos(as) estudantes.</w:t>
      </w:r>
    </w:p>
    <w:p w:rsidR="00000000" w:rsidDel="00000000" w:rsidP="00000000" w:rsidRDefault="00000000" w:rsidRPr="00000000" w14:paraId="0000002D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0,0 - Não contempla</w:t>
      </w:r>
    </w:p>
    <w:p w:rsidR="00000000" w:rsidDel="00000000" w:rsidP="00000000" w:rsidRDefault="00000000" w:rsidRPr="00000000" w14:paraId="0000002E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0,5 - Contempla parcialmente</w:t>
      </w:r>
    </w:p>
    <w:p w:rsidR="00000000" w:rsidDel="00000000" w:rsidP="00000000" w:rsidRDefault="00000000" w:rsidRPr="00000000" w14:paraId="0000002F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1,0 - Contempla totalmente</w:t>
      </w:r>
    </w:p>
    <w:p w:rsidR="00000000" w:rsidDel="00000000" w:rsidP="00000000" w:rsidRDefault="00000000" w:rsidRPr="00000000" w14:paraId="00000030">
      <w:pPr>
        <w:spacing w:line="276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right="-40.866141732282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7. Coerência entre as ações previstas, a metodologia e os resultados esperados/entregas da proposta (Máximo 2,5 pontos).</w:t>
      </w:r>
    </w:p>
    <w:p w:rsidR="00000000" w:rsidDel="00000000" w:rsidP="00000000" w:rsidRDefault="00000000" w:rsidRPr="00000000" w14:paraId="00000032">
      <w:pPr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Enunciado: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Avalie se a ação contempla um alinhamento consistente entre justificativa da proposta; metodologia, estratégias de execução, atividades planejadas e resultados esperados.</w:t>
      </w:r>
    </w:p>
    <w:p w:rsidR="00000000" w:rsidDel="00000000" w:rsidP="00000000" w:rsidRDefault="00000000" w:rsidRPr="00000000" w14:paraId="00000033">
      <w:pPr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Verifique se a ação possui consistência, clareza e alinhamento lógico, avaliando se a metodologia e as atividades planejadas são adequadas e suficientes para atender à justificativa e para alcançar os resultados esperados. A análise deve se basear na articulação entre os itens 9 (Justificativa), 11 (Metodologia) e 14 (Resultados) da Ficha de Inscrição (Anexo A)".</w:t>
      </w:r>
    </w:p>
    <w:p w:rsidR="00000000" w:rsidDel="00000000" w:rsidP="00000000" w:rsidRDefault="00000000" w:rsidRPr="00000000" w14:paraId="00000034">
      <w:pPr>
        <w:spacing w:line="276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0,0 - Não contempla</w:t>
      </w:r>
    </w:p>
    <w:p w:rsidR="00000000" w:rsidDel="00000000" w:rsidP="00000000" w:rsidRDefault="00000000" w:rsidRPr="00000000" w14:paraId="00000035">
      <w:pPr>
        <w:spacing w:line="240" w:lineRule="auto"/>
        <w:ind w:right="-40.8661417322827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1,5 - Contempla parcialmente</w:t>
      </w:r>
    </w:p>
    <w:p w:rsidR="00000000" w:rsidDel="00000000" w:rsidP="00000000" w:rsidRDefault="00000000" w:rsidRPr="00000000" w14:paraId="00000036">
      <w:pPr>
        <w:spacing w:line="240" w:lineRule="auto"/>
        <w:ind w:right="-40.8661417322827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 ) 2,5 - Contempla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40.8661417322827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276" w:lineRule="auto"/>
      <w:ind w:left="0" w:right="-582.9921259842507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-180961</wp:posOffset>
          </wp:positionH>
          <wp:positionV relativeFrom="paragraph">
            <wp:posOffset>-152386</wp:posOffset>
          </wp:positionV>
          <wp:extent cx="1719263" cy="90541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spacing w:line="276" w:lineRule="auto"/>
      <w:ind w:left="0" w:right="-582.9921259842507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DE SANTA MARIA</w:t>
    </w:r>
  </w:p>
  <w:p w:rsidR="00000000" w:rsidDel="00000000" w:rsidP="00000000" w:rsidRDefault="00000000" w:rsidRPr="00000000" w14:paraId="0000003B">
    <w:pPr>
      <w:spacing w:line="276" w:lineRule="auto"/>
      <w:ind w:left="0" w:right="-582.9921259842507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8F2EE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01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014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1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14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1443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6B69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B69A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yI2Mh21N4QgwflDW6tbI3f0jQ==">CgMxLjAyDmguNWFram45ZnNscjA4Mg5oLnpheHFoem8xdnQ2NzIOaC5sc2VhdjF0czBuYjYyDmgubWN2bmtxZmZ1cnhiOAByITE5VF8tRDV5OWVOOGFLcW8yaThrSHFHNDdfcDE5SWh1Wg==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2021-12-15T19:27:00Z</dcterms:created>
</cp:coreProperties>
</file>