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pageBreakBefore w:val="false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MODELO DE EDITAL DE SELEÇÃO DE BOLSISTAS</w:t>
      </w:r>
    </w:p>
    <w:p>
      <w:pPr>
        <w:pStyle w:val="Normal1"/>
        <w:pageBreakBefore w:val="false"/>
        <w:rPr>
          <w:rFonts w:ascii="Arial" w:hAnsi="Arial" w:eastAsia="Arial" w:cs="Arial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3333"/>
          <w:position w:val="0"/>
          <w:sz w:val="24"/>
          <w:sz w:val="24"/>
          <w:szCs w:val="24"/>
          <w:u w:val="none"/>
          <w:shd w:fill="auto" w:val="clear"/>
          <w:vertAlign w:val="baseline"/>
        </w:rPr>
        <w:t>XX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XX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SELEÇÃO DE BOLSISTAS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pageBreakBefore w:val="false"/>
        <w:spacing w:lineRule="auto" w:line="240" w:before="0" w:after="0"/>
        <w:jc w:val="center"/>
        <w:rPr>
          <w:rFonts w:ascii="Arial" w:hAnsi="Arial" w:eastAsia="Arial" w:cs="Arial"/>
          <w:b/>
          <w:position w:val="0"/>
          <w:sz w:val="32"/>
          <w:sz w:val="32"/>
          <w:szCs w:val="32"/>
          <w:vertAlign w:val="baseline"/>
        </w:rPr>
      </w:pP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pageBreakBefore w:val="false"/>
        <w:spacing w:lineRule="auto" w:line="360" w:before="0" w:after="0"/>
        <w:ind w:left="0" w:right="0" w:firstLine="708"/>
        <w:jc w:val="both"/>
        <w:rPr/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O Colégio Técnico Industrial (CTISM), por meio do projeto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de &lt;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tipo&gt;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, 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nº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XXXXXXX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, torna pública a abertura de inscrições para seleção de alunos dos cursos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técnicos </w:t>
      </w:r>
      <w:r>
        <w:rPr>
          <w:rFonts w:eastAsia="Arial" w:cs="Arial" w:ascii="Arial" w:hAnsi="Arial"/>
          <w:position w:val="0"/>
          <w:sz w:val="22"/>
          <w:vertAlign w:val="baseline"/>
        </w:rPr>
        <w:t>da UFSM (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ou do CTISM</w:t>
      </w:r>
      <w:r>
        <w:rPr>
          <w:rFonts w:eastAsia="Arial" w:cs="Arial" w:ascii="Arial" w:hAnsi="Arial"/>
          <w:position w:val="0"/>
          <w:sz w:val="22"/>
          <w:vertAlign w:val="baseline"/>
        </w:rPr>
        <w:t>) para Bolsa de Assistência Estudantil, conforme Resolução 01/2013-UFSM e Regulamento de Bolsas do CTISM.</w:t>
      </w:r>
    </w:p>
    <w:p>
      <w:pPr>
        <w:pStyle w:val="Normal1"/>
        <w:pageBreakBefore w:val="false"/>
        <w:spacing w:lineRule="auto" w:line="360" w:before="0" w:after="0"/>
        <w:ind w:left="0" w:right="0" w:firstLine="708"/>
        <w:jc w:val="both"/>
        <w:rPr/>
      </w:pPr>
      <w:r>
        <w:rPr/>
      </w:r>
    </w:p>
    <w:p>
      <w:pPr>
        <w:pStyle w:val="Normal1"/>
        <w:pageBreakBefore w:val="false"/>
        <w:spacing w:lineRule="auto" w:line="48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1. CRONOGRAMA</w:t>
      </w:r>
    </w:p>
    <w:tbl>
      <w:tblPr>
        <w:tblStyle w:val="Table13"/>
        <w:tblW w:w="88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7"/>
        <w:gridCol w:w="388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ATIVIDADE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PERÍODO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Lançamento Chamada Pública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Inscrição dos candidatos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Avaliação dos candidatos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Divulgação resultado preliminar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Período de Recursos contra resultado Preliminar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Análise Recursos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Divulgação do Resultado Final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200"/>
              <w:rPr>
                <w:rFonts w:ascii="Arial" w:hAnsi="Arial" w:eastAsia="Arial" w:cs="Arial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</w:r>
          </w:p>
        </w:tc>
      </w:tr>
    </w:tbl>
    <w:p>
      <w:pPr>
        <w:pStyle w:val="Normal1"/>
        <w:pageBreakBefore w:val="false"/>
        <w:rPr>
          <w:rFonts w:ascii="Arial" w:hAnsi="Arial" w:eastAsia="Arial" w:cs="Arial"/>
          <w:b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</w:r>
    </w:p>
    <w:p>
      <w:pPr>
        <w:pStyle w:val="Normal1"/>
        <w:pageBreakBefore w:val="false"/>
        <w:spacing w:lineRule="auto" w:line="48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2. DAS INSCRIÇÕES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2.1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Período: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xx/xx/</w:t>
      </w:r>
      <w:r>
        <w:rPr>
          <w:rFonts w:eastAsia="Arial" w:cs="Arial" w:ascii="Arial" w:hAnsi="Arial"/>
          <w:position w:val="0"/>
          <w:sz w:val="22"/>
          <w:vertAlign w:val="baseline"/>
        </w:rPr>
        <w:t>20</w:t>
      </w:r>
      <w:r>
        <w:rPr>
          <w:rFonts w:eastAsia="Arial" w:cs="Arial" w:ascii="Arial" w:hAnsi="Arial"/>
          <w:color w:val="C9211E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a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xx/xx/</w:t>
      </w:r>
      <w:r>
        <w:rPr>
          <w:rFonts w:eastAsia="Arial" w:cs="Arial" w:ascii="Arial" w:hAnsi="Arial"/>
          <w:position w:val="0"/>
          <w:sz w:val="22"/>
          <w:vertAlign w:val="baseline"/>
        </w:rPr>
        <w:t>20</w:t>
      </w:r>
      <w:r>
        <w:rPr>
          <w:rFonts w:eastAsia="Arial" w:cs="Arial" w:ascii="Arial" w:hAnsi="Arial"/>
          <w:color w:val="C9211E"/>
          <w:position w:val="0"/>
          <w:sz w:val="22"/>
          <w:vertAlign w:val="baseline"/>
        </w:rPr>
        <w:t>XX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2.2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Horário: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h às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h e das :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h às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>h</w:t>
      </w:r>
    </w:p>
    <w:p>
      <w:pPr>
        <w:pStyle w:val="Normal1"/>
        <w:pageBreakBefore w:val="false"/>
        <w:spacing w:lineRule="auto" w:line="360"/>
        <w:rPr>
          <w:rFonts w:ascii="Arial" w:hAnsi="Arial" w:eastAsia="Arial" w:cs="Arial"/>
          <w:b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2.3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Local: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xxxxxx</w:t>
      </w:r>
    </w:p>
    <w:p>
      <w:pPr>
        <w:pStyle w:val="Normal1"/>
        <w:pageBreakBefore w:val="false"/>
        <w:spacing w:lineRule="auto" w:line="360"/>
        <w:rPr>
          <w:rFonts w:ascii="Arial" w:hAnsi="Arial" w:eastAsia="Arial" w:cs="Arial"/>
          <w:b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2.4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Documento Obrigatório: Ficha de Cadastro de Bolsista</w:t>
      </w:r>
    </w:p>
    <w:p>
      <w:pPr>
        <w:pStyle w:val="Normal1"/>
        <w:pageBreakBefore w:val="false"/>
        <w:spacing w:lineRule="auto" w:line="48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3. DO PROCESSO SELETIVO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3.1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A seleção será realizada conforme segue: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(Deve ser especificada a forma de seleção dos candidatos, se mediante prova ou entrevista, nota/conceito mínimo para aprovação (por exemplo, igual ou superior a 7) e critérios de classificação.)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Pontuação máxima x,x.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3.1.2 Serão aprovados os candidatos que obtiverem nota final igual ou superior a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x, respeitando o limite máximo de 10,0. </w:t>
      </w:r>
      <w:r>
        <w:rPr>
          <w:rFonts w:eastAsia="Arial" w:cs="Arial" w:ascii="Arial" w:hAnsi="Arial"/>
          <w:position w:val="0"/>
          <w:sz w:val="22"/>
          <w:vertAlign w:val="baseline"/>
        </w:rPr>
        <w:t>Os demais candidatos serão considerados reprovados.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3.1.3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2"/>
          <w:vertAlign w:val="baseline"/>
        </w:rPr>
        <w:t>Os candidatos aprovados serão classificados na ordem decrescente das notas finais obtidas.</w:t>
      </w:r>
    </w:p>
    <w:p>
      <w:pPr>
        <w:pStyle w:val="Normal1"/>
        <w:pageBreakBefore w:val="false"/>
        <w:spacing w:lineRule="auto" w:line="360"/>
        <w:jc w:val="both"/>
        <w:rPr>
          <w:rFonts w:ascii="Arial" w:hAnsi="Arial" w:eastAsia="Arial" w:cs="Arial"/>
          <w:color w:val="FF0000"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3.2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A seleção será valida para o período de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XX/XX/20XX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a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/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/20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ou 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a seleção será valida por um período de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meses prorrogável por igual período.</w:t>
      </w:r>
    </w:p>
    <w:p>
      <w:pPr>
        <w:pStyle w:val="Normal1"/>
        <w:pageBreakBefore w:val="false"/>
        <w:spacing w:lineRule="auto" w:line="48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4. DA BOLSA E DAS VAGAS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A bolsa, cujo valor será de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R$ </w:t>
      </w:r>
      <w:r>
        <w:rPr>
          <w:rFonts w:eastAsia="Arial" w:cs="Arial" w:ascii="Arial" w:hAnsi="Arial"/>
          <w:color w:val="FF0000"/>
        </w:rPr>
        <w:t>50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0,00 mensais para 20 horas semanais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, terá duração de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até </w:t>
      </w:r>
      <w:r>
        <w:rPr>
          <w:rFonts w:eastAsia="Arial" w:cs="Arial" w:ascii="Arial" w:hAnsi="Arial"/>
          <w:color w:val="FF0000"/>
        </w:rPr>
        <w:t>nove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meses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, a partir de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/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/20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>.</w:t>
      </w:r>
    </w:p>
    <w:p>
      <w:pPr>
        <w:pStyle w:val="Normal1"/>
        <w:pageBreakBefore w:val="false"/>
        <w:rPr>
          <w:rFonts w:ascii="Arial" w:hAnsi="Arial" w:eastAsia="Arial" w:cs="Arial"/>
          <w:b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</w:r>
    </w:p>
    <w:tbl>
      <w:tblPr>
        <w:tblStyle w:val="Table14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34"/>
        <w:gridCol w:w="1426"/>
        <w:gridCol w:w="1799"/>
        <w:gridCol w:w="2641"/>
        <w:gridCol w:w="2115"/>
      </w:tblGrid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Vagas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Nº Projeto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Nome Projeto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Área de atuação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vertAlign w:val="baseline"/>
              </w:rPr>
              <w:t>Período da Bolsa</w:t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  <w:t>xx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rFonts w:ascii="Arial" w:hAnsi="Arial" w:eastAsia="Arial" w:cs="Arial"/>
                <w:color w:val="FF0000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  <w:t>xx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rFonts w:ascii="Arial" w:hAnsi="Arial" w:eastAsia="Arial" w:cs="Arial"/>
                <w:color w:val="FF0000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vertAlign w:val="baseline"/>
              </w:rPr>
              <w:t>02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  <w:t>xx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rFonts w:ascii="Arial" w:hAnsi="Arial" w:eastAsia="Arial" w:cs="Arial"/>
                <w:color w:val="FF0000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  <w:t>xx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jc w:val="center"/>
              <w:rPr>
                <w:rFonts w:ascii="Arial" w:hAnsi="Arial" w:eastAsia="Arial" w:cs="Arial"/>
                <w:color w:val="FF0000"/>
                <w:position w:val="0"/>
                <w:sz w:val="22"/>
                <w:vertAlign w:val="baseline"/>
              </w:rPr>
            </w:pPr>
            <w:r>
              <w:rPr>
                <w:rFonts w:eastAsia="Arial" w:cs="Arial" w:ascii="Arial" w:hAnsi="Arial"/>
                <w:color w:val="FF0000"/>
                <w:position w:val="0"/>
                <w:sz w:val="22"/>
                <w:vertAlign w:val="baseline"/>
              </w:rPr>
            </w:r>
          </w:p>
        </w:tc>
      </w:tr>
    </w:tbl>
    <w:p>
      <w:pPr>
        <w:pStyle w:val="Normal1"/>
        <w:pageBreakBefore w:val="false"/>
        <w:spacing w:lineRule="auto" w:line="36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pageBreakBefore w:val="false"/>
        <w:spacing w:lineRule="auto" w:line="48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 xml:space="preserve">5. DOS REQUISITOS 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5.1 Estar regularmente matriculado na Universidade Federal de Santa Maria em Curso Técnico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5.2 Ter sido aprovado em pelo menos 50% das disciplinas cursadas no semestre ou período letivo anterior.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5.3 Ter os dados pessoais atualizados (e-mail e telefone) no DERCA e no Portal do Aluno.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5.4 Possuir conta corrente pessoal, para viabilizar pagamento da bolsa. Não será permitida conta poupança, conta salário ou conta conjunta.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5.5 Não ter vínculo empregatício ou outra bolsa de qualquer natureza, salvo Benefício Socioeconômico - BSE.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5.6 Cumprir as atividades constantes do plano de atividades da bolsa, a ser proposto pelo coordenador no ato da inscrição, em jornada de no mínimo 12 (doze) horas semanais e no máximo 20 (vinte) horas semanais de atividades.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5.7 Manter as condições de habilitação da indicação no período de vigência da bolsa.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5.8 Ter aprovação em seleção pública, realizada pelo coordenador do projeto, de acordo com a Resolução N. 001/2013.</w:t>
      </w:r>
    </w:p>
    <w:p>
      <w:pPr>
        <w:pStyle w:val="Normal1"/>
        <w:pageBreakBefore w:val="false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5.9 O não atendimento aos itens acima mencionados implicará no cancelamento da bolsa.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pageBreakBefore w:val="false"/>
        <w:spacing w:lineRule="auto" w:line="48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ageBreakBefore w:val="false"/>
        <w:spacing w:lineRule="auto" w:line="48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ageBreakBefore w:val="false"/>
        <w:spacing w:lineRule="auto" w:line="48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 xml:space="preserve">6. DA DIVULGAÇÃO DOS RESULTADOS E CLASSIFICAÇÃO 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6.1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Os resultados serão divulgados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(definir local de divulgação, por exemplo, site do CTISM)</w:t>
      </w:r>
      <w:r>
        <w:rPr>
          <w:rFonts w:eastAsia="Arial" w:cs="Arial" w:ascii="Arial" w:hAnsi="Arial"/>
          <w:position w:val="0"/>
          <w:sz w:val="22"/>
          <w:vertAlign w:val="baseline"/>
        </w:rPr>
        <w:t>.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6.2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6.3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Os candidatos aprovados serão classificados na ordem decrescente das notas finais obtidas.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Em caso de empate, serão considerados os seguintes critérios: 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6.3.1 Alunos com benefício socioeconômico terão prioridade sobre os demais;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 xml:space="preserve">6.3.2 Será dada preferência a alunos com experiência em atividades relacionadas à temática do projeto. 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6.3.2 Análise dos horários disponíveis para o desenvolvimento das atividades propostas;</w:t>
      </w:r>
    </w:p>
    <w:p>
      <w:pPr>
        <w:pStyle w:val="Normal1"/>
        <w:pageBreakBefore w:val="false"/>
        <w:spacing w:lineRule="auto" w:line="360"/>
        <w:jc w:val="both"/>
        <w:rPr>
          <w:rFonts w:ascii="Arial" w:hAnsi="Arial" w:eastAsia="Arial" w:cs="Arial"/>
          <w:color w:val="FF0000"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6.4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Os candidatos aprovados através da divulgação do Resultado Final deverão realizar assinatura de Termo de Compromisso até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 dias úteis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da data de divulgação do resultado diretamente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(no Gabinete de Projetos ou com o Coordenador do Projeto).</w:t>
      </w:r>
    </w:p>
    <w:p>
      <w:pPr>
        <w:pStyle w:val="Normal1"/>
        <w:pageBreakBefore w:val="false"/>
        <w:spacing w:lineRule="auto" w:line="48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7. DAS DISPOSIÇÕES GERAIS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7.1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Os casos omissos serão resolvidos pelos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Coordenadores dos Projetos</w:t>
      </w:r>
      <w:r>
        <w:rPr>
          <w:rFonts w:eastAsia="Arial" w:cs="Arial" w:ascii="Arial" w:hAnsi="Arial"/>
          <w:position w:val="0"/>
          <w:sz w:val="22"/>
          <w:vertAlign w:val="baseline"/>
        </w:rPr>
        <w:t>.</w:t>
      </w:r>
    </w:p>
    <w:p>
      <w:pPr>
        <w:pStyle w:val="Normal1"/>
        <w:pageBreakBefore w:val="false"/>
        <w:spacing w:lineRule="auto" w:line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7.2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Outras informações podem ser obtidas pelo e-mail </w:t>
      </w:r>
      <w:hyperlink r:id="rId2">
        <w:r>
          <w:rPr>
            <w:rFonts w:eastAsia="Arial" w:cs="Arial" w:ascii="Arial" w:hAnsi="Arial"/>
            <w:color w:val="FF0000"/>
            <w:position w:val="0"/>
            <w:sz w:val="22"/>
            <w:u w:val="single"/>
            <w:vertAlign w:val="baseline"/>
          </w:rPr>
          <w:t>xx</w:t>
        </w:r>
      </w:hyperlink>
      <w:r>
        <w:rPr>
          <w:rFonts w:eastAsia="Arial" w:cs="Arial" w:ascii="Arial" w:hAnsi="Arial"/>
          <w:position w:val="0"/>
          <w:sz w:val="22"/>
          <w:vertAlign w:val="baseline"/>
        </w:rPr>
        <w:t xml:space="preserve"> ou pelo telefone 3220-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xxxx</w:t>
      </w:r>
      <w:r>
        <w:rPr>
          <w:rFonts w:eastAsia="Arial" w:cs="Arial" w:ascii="Arial" w:hAnsi="Arial"/>
          <w:position w:val="0"/>
          <w:sz w:val="22"/>
          <w:vertAlign w:val="baseline"/>
        </w:rPr>
        <w:t>.</w:t>
      </w:r>
    </w:p>
    <w:p>
      <w:pPr>
        <w:pStyle w:val="Normal1"/>
        <w:pageBreakBefore w:val="false"/>
        <w:ind w:left="360" w:right="0" w:hanging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pageBreakBefore w:val="false"/>
        <w:ind w:left="360" w:right="0" w:hanging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Santa Maria,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de </w:t>
      </w: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xx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de 20</w:t>
      </w:r>
      <w:r>
        <w:rPr>
          <w:rFonts w:eastAsia="Arial" w:cs="Arial" w:ascii="Arial" w:hAnsi="Arial"/>
          <w:color w:val="C9211E"/>
          <w:position w:val="0"/>
          <w:sz w:val="22"/>
          <w:vertAlign w:val="baseline"/>
        </w:rPr>
        <w:t>XX</w:t>
      </w:r>
    </w:p>
    <w:p>
      <w:pPr>
        <w:pStyle w:val="Normal1"/>
        <w:pageBreakBefore w:val="false"/>
        <w:ind w:left="360" w:right="0" w:hanging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pageBreakBefore w:val="false"/>
        <w:ind w:left="360" w:right="0" w:hanging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pageBreakBefore w:val="false"/>
        <w:spacing w:before="0" w:after="200"/>
        <w:jc w:val="right"/>
        <w:rPr>
          <w:rFonts w:ascii="Arial" w:hAnsi="Arial" w:eastAsia="Arial" w:cs="Arial"/>
          <w:b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vertAlign w:val="baseline"/>
        </w:rPr>
        <w:t>Nome, cargo e assinatura do Responsável</w:t>
      </w:r>
    </w:p>
    <w:sectPr>
      <w:headerReference w:type="default" r:id="rId3"/>
      <w:type w:val="nextPage"/>
      <w:pgSz w:w="11906" w:h="16838"/>
      <w:pgMar w:left="1701" w:right="1134" w:gutter="0" w:header="708" w:top="1418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A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A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A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3.05pt;margin-top:6pt;width:351.15pt;height:72.15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Calibri" w:cs="Calibri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A"/>
                        <w:position w:val="0"/>
                        <w:sz w:val="24"/>
                        <w:sz w:val="24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Calibri" w:cs="Calibri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A"/>
                        <w:position w:val="0"/>
                        <w:sz w:val="24"/>
                        <w:sz w:val="24"/>
                        <w:vertAlign w:val="baseline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Calibri" w:cs="Calibri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A"/>
                        <w:position w:val="0"/>
                        <w:sz w:val="24"/>
                        <w:sz w:val="24"/>
                        <w:vertAlign w:val="baseline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0" allowOverlap="1" relativeHeight="21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">
    <w:name w:val="Footnote Text"/>
    <w:basedOn w:val="Normal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xtensao@ufsm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LibreOffice/7.5.3.2$Linux_X86_64 LibreOffice_project/50$Build-2</Application>
  <AppVersion>15.0000</AppVersion>
  <Pages>4</Pages>
  <Words>732</Words>
  <Characters>4004</Characters>
  <CharactersWithSpaces>4677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2024-04-10T20:35:36Z</dcterms:modified>
  <cp:revision>1</cp:revision>
  <dc:subject/>
  <dc:title/>
</cp:coreProperties>
</file>