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Nº de registro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Número de cotas de bolsa:</w:t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Valor em material de consumo (até R$ 1000,00): 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Coordenação de outros projetos de Extensão no CTISM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1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Coordenação de outros projetos que não sejam de Extensão no CTISM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2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Participação em outros projetos no CTISM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3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Participação em outros projetos fora do CTISM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4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6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Liste a síntese de ações previstas para o ano corrente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</w:t>
      </w:r>
      <w:r w:rsidDel="00000000" w:rsidR="00000000" w:rsidRPr="00000000">
        <w:rPr>
          <w:rtl w:val="0"/>
        </w:rPr>
      </w:r>
    </w:p>
    <w:tbl>
      <w:tblPr>
        <w:tblStyle w:val="Table5"/>
        <w:tblW w:w="907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QUADRO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b w:val="1"/>
          <w:vertAlign w:val="baseline"/>
          <w:rtl w:val="0"/>
        </w:rPr>
        <w:t xml:space="preserve"> - Especificação do MATERIAL DE CONSUMO</w:t>
      </w:r>
    </w:p>
    <w:tbl>
      <w:tblPr>
        <w:tblStyle w:val="Table6"/>
        <w:tblW w:w="9437.0" w:type="dxa"/>
        <w:jc w:val="left"/>
        <w:tblInd w:w="-108.0" w:type="dxa"/>
        <w:tblLayout w:type="fixed"/>
        <w:tblLook w:val="0000"/>
      </w:tblPr>
      <w:tblGrid>
        <w:gridCol w:w="439"/>
        <w:gridCol w:w="3567"/>
        <w:gridCol w:w="1297"/>
        <w:gridCol w:w="1317"/>
        <w:gridCol w:w="1266"/>
        <w:gridCol w:w="1551"/>
        <w:tblGridChange w:id="0">
          <w:tblGrid>
            <w:gridCol w:w="439"/>
            <w:gridCol w:w="3567"/>
            <w:gridCol w:w="1297"/>
            <w:gridCol w:w="1317"/>
            <w:gridCol w:w="1266"/>
            <w:gridCol w:w="155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Subtotal 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Plano de Trabalho Individual das Bolsas de Atuação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3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1 </w:t>
      </w:r>
      <w:r w:rsidDel="00000000" w:rsidR="00000000" w:rsidRPr="00000000">
        <w:rPr>
          <w:vertAlign w:val="baseline"/>
          <w:rtl w:val="0"/>
        </w:rPr>
        <w:t xml:space="preserve">(Máximo 1500 caracteres)</w:t>
      </w:r>
    </w:p>
    <w:tbl>
      <w:tblPr>
        <w:tblStyle w:val="Table7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rHeight w:val="3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Bolsa 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8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Bolsa 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9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Caso a(s) bolsa(s) seja(m) para acadêmico(s) de outros centros, justifique abaixo:</w:t>
      </w:r>
      <w:r w:rsidDel="00000000" w:rsidR="00000000" w:rsidRPr="00000000">
        <w:rPr>
          <w:rtl w:val="0"/>
        </w:rPr>
      </w:r>
    </w:p>
    <w:tbl>
      <w:tblPr>
        <w:tblStyle w:val="Table10"/>
        <w:tblW w:w="948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(   )Declaro estar ciente que, em caso de ser contemplado com recursos de auxílio financeiro ao estudante, a seleção dos bolsistas deverá ser realizada, por Chamada Pública, de acordo com o que determina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Resolução 001/2013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que Dispõe sobre Concessão, Critérios de Acesso, Permanência e Suspensão de Bolsas Estudantis de Ensino, Pesquisa e de Extensão da Universidade Federal de Santa Maria. Resolução Disponível em: https://portal.ufsm.br/documentos/documentos/index.html?action=open&amp;idInformacaoDocumento=2287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– MODELO DE EDITAL DE SELEÇÃO DE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Colégio Técnico Industrial (CTISM), por meio do projeto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Extensão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torna pública a abertura de inscrições para seleção de alunos dos cursos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técnicos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 UFSM (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 do CTISM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 para Bolsa de Assistência Estudantil, conforme Resolução 01/2013-UFSM e Regulamento de Bolsas do CTISM.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1. CRONOGRAMA</w:t>
      </w:r>
      <w:r w:rsidDel="00000000" w:rsidR="00000000" w:rsidRPr="00000000">
        <w:rPr>
          <w:rtl w:val="0"/>
        </w:rPr>
      </w:r>
    </w:p>
    <w:tbl>
      <w:tblPr>
        <w:tblStyle w:val="Table11"/>
        <w:tblW w:w="8815.0" w:type="dxa"/>
        <w:jc w:val="center"/>
        <w:tblLayout w:type="fixed"/>
        <w:tblLook w:val="0000"/>
      </w:tblPr>
      <w:tblGrid>
        <w:gridCol w:w="4928"/>
        <w:gridCol w:w="3887"/>
        <w:tblGridChange w:id="0">
          <w:tblGrid>
            <w:gridCol w:w="4928"/>
            <w:gridCol w:w="38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Lançamento Chamada Pública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Inscrição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Avaliação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 Recursos contra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Análise 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do Resultado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 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Documento Obrigatório: 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 DO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Pontuação máxima x,x.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3.1.2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candidatos aprovados serão classificados na ordem decrescente das notas finais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valida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a 31/12/20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ou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seleção será valida por um período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meses prorrogável por igual período.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 DA BOLSA E DAS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bolsa, cujo valor será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R$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0,00 mensais para 20 horas semanais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terá duração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até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nove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meses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 partir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15.0" w:type="dxa"/>
        <w:jc w:val="center"/>
        <w:tblLayout w:type="fixed"/>
        <w:tblLook w:val="0000"/>
      </w:tblPr>
      <w:tblGrid>
        <w:gridCol w:w="1035"/>
        <w:gridCol w:w="1425"/>
        <w:gridCol w:w="1800"/>
        <w:gridCol w:w="2640"/>
        <w:gridCol w:w="2115"/>
        <w:tblGridChange w:id="0">
          <w:tblGrid>
            <w:gridCol w:w="1035"/>
            <w:gridCol w:w="1425"/>
            <w:gridCol w:w="1800"/>
            <w:gridCol w:w="2640"/>
            <w:gridCol w:w="21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Nº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Nome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Área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 da Bolsa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pageBreakBefore w:val="0"/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5. DOS REQUISITOS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5.1 Estar regularmente matriculado na Universidade Federal de Santa Maria em Curso Técnico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presencial ou superior de tecnologia, do Colégio Técnico Industrial de Santa Maria, com carga horária de pelo menos 120 horas no semestre ou período letivo,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5.2 Ter sido aprovado em pelo menos 50% das disciplinas cursadas no semestre ou período letivo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5.3 Ter os dados pessoais atualizados (e-mail e telefone) no DERCA e no Portal do Aluno.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5.4 Possuir conta corrente pessoal, para viabilizar pagamento da bolsa. Não será permitida conta poupança, conta salário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5.5 Não ter vínculo empregatício ou outra bolsa de qualquer natureza, salvo Benefício Socioeconômico - BSE.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5.6 Cumprir as atividades constantes do plano de atividades da bolsa, a ser proposto pelo coordenador no ato da inscrição, em jornada de no mínimo 12 (doze) horas semanais e no máximo 20 (vinte) horas semanais de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5.7 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5.8 Ter aprovação em seleção pública, realizada pelo coordenador do projeto, de acordo com a Resolução N. 001/2013.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5.9 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 DA DIVULGAÇÃO DOS RESULTADOS E CLASSIFICAÇÃO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resultados serão divulgados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(definir local de divulgação, por exemplo, site do CTISM)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julgamento dos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 caso de empate, serão considerados os seguintes critérios: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6.3.1 Alunos com benefício socioeconômico terão prioridade sobre os demais;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Será dada preferência a alunos com experiência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Análise dos horários disponíveis para o desenvolvimento das atividades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através da divulgação do Resultado Final deverão realizar assinatura de Termo de Compromisso até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 dias úteis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da data de divulgação do resultado diretamente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 Gabinete de Projetos ou com o Coordenador do Projeto).</w:t>
      </w:r>
    </w:p>
    <w:p w:rsidR="00000000" w:rsidDel="00000000" w:rsidP="00000000" w:rsidRDefault="00000000" w:rsidRPr="00000000" w14:paraId="000000CB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casos omissos serão resolvidos pelos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Coordenadores dos Projetos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Outras informações podem ser obtidas pelo e-mail </w:t>
      </w:r>
      <w:hyperlink r:id="rId7">
        <w:r w:rsidDel="00000000" w:rsidR="00000000" w:rsidRPr="00000000">
          <w:rPr>
            <w:rFonts w:ascii="Arial" w:cs="Arial" w:eastAsia="Arial" w:hAnsi="Arial"/>
            <w:color w:val="ff0000"/>
            <w:u w:val="single"/>
            <w:vertAlign w:val="baselin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ind w:left="36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20</w:t>
      </w:r>
      <w:r w:rsidDel="00000000" w:rsidR="00000000" w:rsidRPr="00000000">
        <w:rPr>
          <w:rFonts w:ascii="Arial" w:cs="Arial" w:eastAsia="Arial" w:hAnsi="Arial"/>
          <w:rtl w:val="0"/>
        </w:rPr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ind w:left="360" w:righ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jc w:val="right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Nome, cargo e assinatura do Responsável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418" w:left="1701" w:right="1134" w:header="708.661417322834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Deve-se identificar a ação com a respectiva meta, por exemplo, realizar uma oficina para 30 pessoas; capacitar 15 alunos, etc.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Identificar pelo “Produto e Descrição” para os itens do Almoxarifado Central e pelo “número do Documento/Registro de Preço e do Extrato” os itens do Extrato de Contratos ou Registros. Podendo ser acessado pela intranet CTISM, através do link: 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D5">
      <w:pPr>
        <w:pageBreakBefore w:val="0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Utilizar informações do Almoxarifado Central </w:t>
      </w:r>
      <w:r w:rsidDel="00000000" w:rsidR="00000000" w:rsidRPr="00000000">
        <w:rPr>
          <w:sz w:val="18"/>
          <w:szCs w:val="18"/>
          <w:rtl w:val="0"/>
        </w:rPr>
        <w:t xml:space="preserve">ou do Extrato de Contratos, ou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Registros. Podendo ser acessado pela intranet CTISM, através do link: </w:t>
      </w:r>
      <w:hyperlink r:id="rId2">
        <w:r w:rsidDel="00000000" w:rsidR="00000000" w:rsidRPr="00000000">
          <w:rPr>
            <w:color w:val="0000ff"/>
            <w:sz w:val="18"/>
            <w:szCs w:val="18"/>
            <w:u w:val="single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sz w:val="18"/>
          <w:szCs w:val="1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 conter o Objetivo e as Atividades a serem desenvolvidas com o respectivo cronograma de execução.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b="0" l="0" r="0" t="0"/>
          <wp:wrapTopAndBottom distB="114300" distT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1845" l="-1816" r="-1815" t="-1844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Colégio Técnico Industrial de Santa Maria</w:t>
                          </w:r>
                        </w:p>
                      </w:txbxContent>
                    </wps:txbx>
                    <wps:bodyPr anchorCtr="0" anchor="t" bIns="53325" lIns="99050" spcFirstLastPara="1" rIns="99050" wrap="square" tIns="533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0240" cy="916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b="0" l="0" r="0" t="0"/>
          <wp:wrapSquare wrapText="bothSides" distB="0" distT="0" distL="0" distR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-188" l="-195" r="-195" t="-189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extensao@ufsm.br" TargetMode="External"/><Relationship Id="rId8" Type="http://schemas.openxmlformats.org/officeDocument/2006/relationships/header" Target="header2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intranet.ctism.ufsm.br/compras-info/" TargetMode="External"/><Relationship Id="rId2" Type="http://schemas.openxmlformats.org/officeDocument/2006/relationships/hyperlink" Target="https://intranet.ctism.ufsm.br/compras-info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