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 INTERNA Nº.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EDITAL XX/2023 - CV/ODH/PRE/UFSM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EDITAL DE APOIO ÀS AÇÕES DA CASA VERÔNICA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 PARA O PROJETO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de extensão denominada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torna pública a abertura de inscrições para seleção de BOLSISTA para cadastro reserva, para atuar junto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Observatório de Direitos Humanos da UFSM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descrição das vagas no item 3 desta chamada.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inscrições dos/as interessados/as serão realizadas somente por meio eletrônico, pelo e-mail indicado pelo projeto correspondente no item 3 desta chamada, no período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xx/xx/202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 xx/xx/202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Será considerada válida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inscrição dos/as candidatos/as que preencherem todos os campos da Ficha de inscrição (ANEXO II);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O/A candidato/a selecionado/a deve estar matriculado(a) regularmente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deve dispor de outra bolsa institucional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PROCESSO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seleção será realizada conforme segue: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Cumprimento dos requisitos dispostos no item 3;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Entrevista individual realizada com os/as candidatos/as, na qual será avaliado se as competências e habilidades destes/as são compatíveis para a execução das atividades propostas, bem como as experiências em atividades relacionadas à temática de atuação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; e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1224" w:hanging="504.00000000000006"/>
        <w:jc w:val="both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Será dada preferência a acadêmicos dos cursos especificados no item 3 e com experiência em atividades relacionadas à área de demanda de cada bolsa.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1224" w:hanging="504.00000000000006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Será considerado para fins de análise o pertencimento a grupos sociais minoritarios,  tais como estudantes negros(as) e/ou LGBTQIAPN+, estudantes que tenham benefício socioeconomico, tendo preferência em caso de empate.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Análise de portfólio ou alguma outra atividade a ser especificada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DAS VAGAS</w:t>
      </w:r>
    </w:p>
    <w:tbl>
      <w:tblPr>
        <w:tblStyle w:val="Table1"/>
        <w:tblW w:w="9669.0" w:type="dxa"/>
        <w:jc w:val="center"/>
        <w:tblLayout w:type="fixed"/>
        <w:tblLook w:val="0400"/>
      </w:tblPr>
      <w:tblGrid>
        <w:gridCol w:w="2999"/>
        <w:gridCol w:w="910"/>
        <w:gridCol w:w="2388"/>
        <w:gridCol w:w="3372"/>
        <w:tblGridChange w:id="0">
          <w:tblGrid>
            <w:gridCol w:w="2999"/>
            <w:gridCol w:w="910"/>
            <w:gridCol w:w="2388"/>
            <w:gridCol w:w="3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Requisitos*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 para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###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 de disponibilidade semanal;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Será dada preferência a estudantes do Curso de xxx que já tenham cursado o x semestre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 conhecimento do Pacote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Word, Excel, Power Point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inscrição será realizada por meio do e-mail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###.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entrevistas seguirão o cronograma conforme o item 5 deste edital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Coordenador/a do Projeto: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####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Plano de atividades de cada bolsista 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DA CARGA HORÁRIA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O/A candidato/a deverá ter disponibilidade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12 (doze)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20 (vinte)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semanais, que corresponderá à remuneração de R$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250,00 (duzentos e cinquenta reais) / 400,00 (quatrocentos reais)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/ 620,00 (seiscentos e vinte reais)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mensais;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início das atividades será no dia 01 de junho de 2022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DO CRONOGR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AMA</w:t>
      </w:r>
      <w:r w:rsidDel="00000000" w:rsidR="00000000" w:rsidRPr="00000000">
        <w:rPr>
          <w:rtl w:val="0"/>
        </w:rPr>
      </w:r>
    </w:p>
    <w:tbl>
      <w:tblPr>
        <w:tblStyle w:val="Table2"/>
        <w:tblW w:w="8664.0" w:type="dxa"/>
        <w:jc w:val="center"/>
        <w:tblLayout w:type="fixed"/>
        <w:tblLook w:val="0400"/>
      </w:tblPr>
      <w:tblGrid>
        <w:gridCol w:w="4322"/>
        <w:gridCol w:w="4342"/>
        <w:tblGridChange w:id="0">
          <w:tblGrid>
            <w:gridCol w:w="4322"/>
            <w:gridCol w:w="4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Inscrições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xx/xx/2022 a xx/xx/2022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xx/xx/2022 a xx/xx/2022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xx/xx/2022 a xx/xx/2022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xx/xx/2022 a xx/xx/2022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DAS DISPOSIÇÕES GERAIS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Tão logo tenha início as atividades, o/a bolsista deverá ter, ou prontamente providenciar, conta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seu nome (onde seja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para o recebimento de bolsa mensal. A conta não poderá ser conjunta.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casos omissos serão resolvidos pel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qualquer tempo, a presente chamada poderá ser revogada ou anulada, no todo ou em parte, seja por decisão unilateral da Pró-Reitoria de Extensão – PRE, seja por motivo de interesse público ou exigência legal, em decisão fundamentada, sem que isso implique direito a indenização ou reclamação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ff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#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###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pelo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####.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 de 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Nome do/a coordenador/a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PROJETO E PLANO DE ATIVIDADES DOS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o projeto: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############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atividades do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CHAMADA INTERNA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##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/2021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center"/>
        <w:tblLayout w:type="fixed"/>
        <w:tblLook w:val="0400"/>
      </w:tblPr>
      <w:tblGrid>
        <w:gridCol w:w="4965"/>
        <w:gridCol w:w="4365"/>
        <w:tblGridChange w:id="0">
          <w:tblGrid>
            <w:gridCol w:w="4965"/>
            <w:gridCol w:w="436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(SOCIAL)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TRABALHA FORA DA UFSM? (   ) SIM   (   ) NÃO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BANCÁRIOS:**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1"/>
        <w:ind w:left="0"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); b) o titular da conta deve ser a/o candidata/o à bolsa, ou seja, a conta não pode ser de terceiros e </w:t>
      </w:r>
      <w:r w:rsidDel="00000000" w:rsidR="00000000" w:rsidRPr="00000000">
        <w:rPr>
          <w:rtl w:val="0"/>
        </w:rPr>
        <w:t xml:space="preserve">c) a conta não pode ser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88" w:lineRule="auto"/>
        <w:jc w:val="center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center"/>
        <w:tblLayout w:type="fixed"/>
        <w:tblLook w:val="0400"/>
      </w:tblPr>
      <w:tblGrid>
        <w:gridCol w:w="4965"/>
        <w:gridCol w:w="4365"/>
        <w:tblGridChange w:id="0">
          <w:tblGrid>
            <w:gridCol w:w="4965"/>
            <w:gridCol w:w="4365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88" w:lineRule="auto"/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Informações complementares (opcional)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288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Identidade de gênero*: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288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Cor/raça*: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88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Orientação sexual*: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88" w:lineRule="auto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É mãe ou pai: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Se sim, qual idade do(a) filho: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1"/>
        <w:ind w:left="0" w:firstLine="0"/>
        <w:jc w:val="both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 objetivo de conhecer a quais grupos populacionais e identitários pertencem as e os bolsistas da casa verônica, recomenda-se a oportunização de bolsas para estudantes pertencentes a grupos sociais minoritários ou que enfrentam vulnerabilidades decorrentes das questões de gênero.</w:t>
      </w:r>
    </w:p>
    <w:p w:rsidR="00000000" w:rsidDel="00000000" w:rsidP="00000000" w:rsidRDefault="00000000" w:rsidRPr="00000000" w14:paraId="00000095">
      <w:pPr>
        <w:widowControl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DE HORÁRIOS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os horários disponíveis para a atividade de bolsista;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 somar 20h)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1º) Ser estudante da Universidade Federal de Santa Maria (UFSM), em situação regular (matriculado); 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2º)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 estar vinculado a outra bolsa, independente do órgão financiador. </w:t>
      </w:r>
    </w:p>
    <w:p w:rsidR="00000000" w:rsidDel="00000000" w:rsidP="00000000" w:rsidRDefault="00000000" w:rsidRPr="00000000" w14:paraId="000000BB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candidato(a) (pode ser digitalizada):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3" w:right="2096" w:firstLine="0"/>
      <w:jc w:val="left"/>
      <w:rPr>
        <w:rFonts w:ascii="Arial" w:cs="Arial" w:eastAsia="Arial" w:hAnsi="Arial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  <w:br w:type="textWrapping"/>
      <w:t xml:space="preserve">UNIVERSIDADE FEDERAL DE SANTA MARIA</w:t>
      <w:br w:type="textWrapping"/>
      <w:t xml:space="preserve">PRÓ-REITORIA DE EXTENSÃO</w:t>
      <w:br w:type="textWrapping"/>
      <w:t xml:space="preserve">OBSERVATÓRIO DE DIREITOS HUMANOS</w:t>
    </w:r>
    <w:r w:rsidDel="00000000" w:rsidR="00000000" w:rsidRPr="00000000">
      <w:drawing>
        <wp:anchor allowOverlap="1" behindDoc="0" distB="0" distT="0" distL="114832" distR="114832" hidden="0" layoutInCell="1" locked="0" relativeHeight="0" simplePos="0">
          <wp:simplePos x="0" y="0"/>
          <wp:positionH relativeFrom="column">
            <wp:posOffset>59757</wp:posOffset>
          </wp:positionH>
          <wp:positionV relativeFrom="paragraph">
            <wp:posOffset>-165588</wp:posOffset>
          </wp:positionV>
          <wp:extent cx="1019814" cy="1009015"/>
          <wp:effectExtent b="0" l="0" r="0" t="0"/>
          <wp:wrapSquare wrapText="bothSides" distB="0" distT="0" distL="114832" distR="114832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4" cy="1009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3" w:right="2096" w:firstLine="0"/>
      <w:jc w:val="left"/>
      <w:rPr>
        <w:rFonts w:ascii="Arial" w:cs="Arial" w:eastAsia="Arial" w:hAnsi="Arial"/>
        <w:color w:val="00000a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a"/>
        <w:sz w:val="18"/>
        <w:szCs w:val="18"/>
        <w:rtl w:val="0"/>
      </w:rPr>
      <w:t xml:space="preserve">ESPAÇO MULTIPROFISSIONAL CASA VERÔNICA</w:t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cs="Times New Roman" w:eastAsia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1">
    <w:name w:val="Heading 1"/>
    <w:basedOn w:val="602"/>
    <w:next w:val="602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9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602"/>
    <w:next w:val="602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602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paragraph" w:styleId="32">
    <w:name w:val="Title"/>
    <w:basedOn w:val="602"/>
    <w:next w:val="602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02"/>
    <w:next w:val="602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02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2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2"/>
    <w:next w:val="602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 w:val="1"/>
    <w:rPr>
      <w:vertAlign w:val="superscript"/>
    </w:rPr>
  </w:style>
  <w:style w:type="paragraph" w:styleId="176">
    <w:name w:val="endnote text"/>
    <w:basedOn w:val="602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 w:val="1"/>
    <w:unhideWhenUsed w:val="1"/>
    <w:rPr>
      <w:vertAlign w:val="superscript"/>
    </w:rPr>
  </w:style>
  <w:style w:type="paragraph" w:styleId="179">
    <w:name w:val="toc 1"/>
    <w:basedOn w:val="602"/>
    <w:next w:val="602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02"/>
    <w:next w:val="602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02"/>
    <w:next w:val="602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02"/>
    <w:next w:val="602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02"/>
    <w:next w:val="602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02"/>
    <w:next w:val="602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02"/>
    <w:next w:val="602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02"/>
    <w:next w:val="602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02"/>
    <w:next w:val="602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02"/>
    <w:next w:val="602"/>
    <w:uiPriority w:val="99"/>
    <w:unhideWhenUsed w:val="1"/>
    <w:pPr>
      <w:spacing w:after="0" w:afterAutospacing="0"/>
    </w:pPr>
  </w:style>
  <w:style w:type="table" w:styleId="60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602" w:default="1">
    <w:name w:val="Normal"/>
    <w:next w:val="602"/>
    <w:link w:val="602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603">
    <w:name w:val="Título 4"/>
    <w:basedOn w:val="661"/>
    <w:next w:val="661"/>
    <w:link w:val="602"/>
    <w:pPr>
      <w:keepNext w:val="1"/>
      <w:numPr>
        <w:ilvl w:val="3"/>
        <w:numId w:val="1"/>
      </w:numPr>
      <w:spacing w:after="10" w:before="10" w:line="360" w:lineRule="auto"/>
      <w:jc w:val="both"/>
      <w:outlineLvl w:val="3"/>
    </w:pPr>
    <w:rPr>
      <w:color w:val="000000"/>
    </w:rPr>
  </w:style>
  <w:style w:type="character" w:styleId="604">
    <w:name w:val="WW8Num1z0"/>
    <w:next w:val="604"/>
  </w:style>
  <w:style w:type="character" w:styleId="605">
    <w:name w:val="WW8Num1z1"/>
    <w:next w:val="605"/>
    <w:link w:val="602"/>
  </w:style>
  <w:style w:type="character" w:styleId="606">
    <w:name w:val="WW8Num1z2"/>
    <w:next w:val="606"/>
  </w:style>
  <w:style w:type="character" w:styleId="607">
    <w:name w:val="WW8Num1z3"/>
    <w:next w:val="607"/>
    <w:link w:val="602"/>
  </w:style>
  <w:style w:type="character" w:styleId="608">
    <w:name w:val="WW8Num1z4"/>
    <w:next w:val="608"/>
  </w:style>
  <w:style w:type="character" w:styleId="609">
    <w:name w:val="WW8Num1z5"/>
    <w:next w:val="609"/>
  </w:style>
  <w:style w:type="character" w:styleId="610">
    <w:name w:val="WW8Num1z6"/>
    <w:next w:val="610"/>
    <w:link w:val="602"/>
  </w:style>
  <w:style w:type="character" w:styleId="611">
    <w:name w:val="WW8Num1z7"/>
    <w:next w:val="611"/>
  </w:style>
  <w:style w:type="character" w:styleId="612">
    <w:name w:val="WW8Num1z8"/>
    <w:next w:val="612"/>
  </w:style>
  <w:style w:type="character" w:styleId="613">
    <w:name w:val="WW8Num2z0"/>
    <w:next w:val="613"/>
    <w:link w:val="602"/>
    <w:rPr>
      <w:rFonts w:ascii="Times New Roman" w:hAnsi="Times New Roman"/>
      <w:b w:val="1"/>
    </w:rPr>
  </w:style>
  <w:style w:type="character" w:styleId="614">
    <w:name w:val="WW8Num2z1"/>
    <w:next w:val="614"/>
    <w:link w:val="602"/>
    <w:rPr>
      <w:rFonts w:ascii="Times New Roman" w:hAnsi="Times New Roman"/>
      <w:b w:val="1"/>
      <w:sz w:val="22"/>
      <w:szCs w:val="24"/>
    </w:rPr>
  </w:style>
  <w:style w:type="character" w:styleId="615">
    <w:name w:val="WW8Num2z2"/>
    <w:next w:val="615"/>
    <w:link w:val="602"/>
    <w:rPr>
      <w:rFonts w:ascii="Times New Roman" w:hAnsi="Times New Roman"/>
      <w:sz w:val="22"/>
      <w:szCs w:val="22"/>
    </w:rPr>
  </w:style>
  <w:style w:type="character" w:styleId="616">
    <w:name w:val="WW8Num2z3"/>
    <w:next w:val="616"/>
    <w:link w:val="602"/>
  </w:style>
  <w:style w:type="character" w:styleId="617">
    <w:name w:val="WW8Num2z4"/>
    <w:next w:val="617"/>
  </w:style>
  <w:style w:type="character" w:styleId="618">
    <w:name w:val="WW8Num2z5"/>
    <w:next w:val="618"/>
    <w:link w:val="653"/>
  </w:style>
  <w:style w:type="character" w:styleId="619">
    <w:name w:val="WW8Num2z6"/>
    <w:next w:val="619"/>
    <w:link w:val="602"/>
  </w:style>
  <w:style w:type="character" w:styleId="620">
    <w:name w:val="WW8Num2z7"/>
    <w:next w:val="620"/>
    <w:link w:val="602"/>
  </w:style>
  <w:style w:type="character" w:styleId="621">
    <w:name w:val="WW8Num2z8"/>
    <w:next w:val="621"/>
    <w:link w:val="602"/>
  </w:style>
  <w:style w:type="character" w:styleId="622">
    <w:name w:val="Fonte parág. padrão"/>
    <w:next w:val="622"/>
    <w:link w:val="602"/>
  </w:style>
  <w:style w:type="character" w:styleId="623">
    <w:name w:val="WW8Num3z0"/>
    <w:next w:val="623"/>
    <w:link w:val="602"/>
    <w:rPr>
      <w:b w:val="1"/>
    </w:rPr>
  </w:style>
  <w:style w:type="character" w:styleId="624">
    <w:name w:val="WW8Num3z1"/>
    <w:next w:val="624"/>
    <w:link w:val="602"/>
    <w:rPr>
      <w:b w:val="1"/>
    </w:rPr>
  </w:style>
  <w:style w:type="character" w:styleId="625">
    <w:name w:val="WW8Num3z2"/>
    <w:next w:val="625"/>
    <w:link w:val="602"/>
  </w:style>
  <w:style w:type="character" w:styleId="626">
    <w:name w:val="WW8Num3z3"/>
    <w:next w:val="626"/>
    <w:link w:val="602"/>
  </w:style>
  <w:style w:type="character" w:styleId="627">
    <w:name w:val="WW8Num3z4"/>
    <w:next w:val="627"/>
    <w:link w:val="602"/>
  </w:style>
  <w:style w:type="character" w:styleId="628">
    <w:name w:val="WW8Num3z5"/>
    <w:next w:val="628"/>
    <w:link w:val="602"/>
  </w:style>
  <w:style w:type="character" w:styleId="629">
    <w:name w:val="WW8Num3z6"/>
    <w:next w:val="629"/>
    <w:link w:val="602"/>
  </w:style>
  <w:style w:type="character" w:styleId="630">
    <w:name w:val="WW8Num3z7"/>
    <w:next w:val="630"/>
    <w:link w:val="602"/>
  </w:style>
  <w:style w:type="character" w:styleId="631">
    <w:name w:val="WW8Num3z8"/>
    <w:next w:val="631"/>
    <w:link w:val="602"/>
  </w:style>
  <w:style w:type="character" w:styleId="632">
    <w:name w:val="WW8Num4z0"/>
    <w:next w:val="632"/>
    <w:link w:val="602"/>
    <w:rPr>
      <w:b w:val="1"/>
    </w:rPr>
  </w:style>
  <w:style w:type="character" w:styleId="633">
    <w:name w:val="WW8Num4z1"/>
    <w:next w:val="633"/>
    <w:link w:val="602"/>
    <w:rPr>
      <w:rFonts w:ascii="Arial" w:hAnsi="Arial"/>
      <w:b w:val="1"/>
      <w:sz w:val="22"/>
      <w:szCs w:val="22"/>
    </w:rPr>
  </w:style>
  <w:style w:type="character" w:styleId="634">
    <w:name w:val="WW8Num4z2"/>
    <w:next w:val="634"/>
    <w:link w:val="602"/>
  </w:style>
  <w:style w:type="character" w:styleId="635">
    <w:name w:val="WW8Num4z3"/>
    <w:next w:val="635"/>
    <w:link w:val="602"/>
  </w:style>
  <w:style w:type="character" w:styleId="636">
    <w:name w:val="WW8Num4z4"/>
    <w:next w:val="636"/>
    <w:link w:val="602"/>
  </w:style>
  <w:style w:type="character" w:styleId="637">
    <w:name w:val="WW8Num4z5"/>
    <w:next w:val="637"/>
    <w:link w:val="602"/>
  </w:style>
  <w:style w:type="character" w:styleId="638">
    <w:name w:val="WW8Num4z6"/>
    <w:next w:val="638"/>
    <w:link w:val="602"/>
  </w:style>
  <w:style w:type="character" w:styleId="639">
    <w:name w:val="WW8Num4z7"/>
    <w:next w:val="639"/>
    <w:link w:val="602"/>
  </w:style>
  <w:style w:type="character" w:styleId="640">
    <w:name w:val="WW8Num4z8"/>
    <w:next w:val="640"/>
    <w:link w:val="602"/>
  </w:style>
  <w:style w:type="character" w:styleId="641">
    <w:name w:val="WW8Num5z0"/>
    <w:next w:val="641"/>
    <w:link w:val="602"/>
    <w:rPr>
      <w:b w:val="1"/>
    </w:rPr>
  </w:style>
  <w:style w:type="character" w:styleId="642">
    <w:name w:val="WW8Num5z1"/>
    <w:next w:val="642"/>
    <w:link w:val="602"/>
    <w:rPr>
      <w:b w:val="1"/>
    </w:rPr>
  </w:style>
  <w:style w:type="character" w:styleId="643">
    <w:name w:val="WW8Num5z2"/>
    <w:next w:val="643"/>
    <w:link w:val="602"/>
  </w:style>
  <w:style w:type="character" w:styleId="644">
    <w:name w:val="WW8Num5z3"/>
    <w:next w:val="644"/>
    <w:link w:val="602"/>
  </w:style>
  <w:style w:type="character" w:styleId="645">
    <w:name w:val="WW8Num5z4"/>
    <w:next w:val="645"/>
    <w:link w:val="602"/>
  </w:style>
  <w:style w:type="character" w:styleId="646">
    <w:name w:val="WW8Num5z5"/>
    <w:next w:val="646"/>
    <w:link w:val="602"/>
  </w:style>
  <w:style w:type="character" w:styleId="647">
    <w:name w:val="WW8Num5z6"/>
    <w:next w:val="647"/>
    <w:link w:val="602"/>
  </w:style>
  <w:style w:type="character" w:styleId="648">
    <w:name w:val="WW8Num5z7"/>
    <w:next w:val="648"/>
    <w:link w:val="602"/>
  </w:style>
  <w:style w:type="character" w:styleId="649">
    <w:name w:val="WW8Num5z8"/>
    <w:next w:val="649"/>
    <w:link w:val="602"/>
  </w:style>
  <w:style w:type="character" w:styleId="650">
    <w:name w:val="Fonte parág. padrão1"/>
    <w:next w:val="650"/>
    <w:link w:val="602"/>
  </w:style>
  <w:style w:type="character" w:styleId="651">
    <w:name w:val="Footnote Symbol"/>
    <w:next w:val="651"/>
    <w:link w:val="602"/>
  </w:style>
  <w:style w:type="character" w:styleId="652">
    <w:name w:val="Footnote anchor"/>
    <w:next w:val="652"/>
    <w:link w:val="602"/>
    <w:rPr>
      <w:vertAlign w:val="superscript"/>
    </w:rPr>
  </w:style>
  <w:style w:type="character" w:styleId="653">
    <w:name w:val="Hyperlink1"/>
    <w:next w:val="653"/>
    <w:link w:val="602"/>
    <w:rPr>
      <w:color w:val="000080"/>
      <w:u w:val="single"/>
    </w:rPr>
  </w:style>
  <w:style w:type="character" w:styleId="654">
    <w:name w:val="FollowedHyperlink"/>
    <w:next w:val="654"/>
    <w:link w:val="602"/>
    <w:rPr>
      <w:color w:val="800080"/>
      <w:u w:val="single"/>
    </w:rPr>
  </w:style>
  <w:style w:type="character" w:styleId="655">
    <w:name w:val="Link da Internet"/>
    <w:next w:val="655"/>
    <w:link w:val="602"/>
    <w:rPr>
      <w:color w:val="000080"/>
      <w:u w:val="single"/>
      <w:lang w:bidi="en-US" w:val="en-US"/>
    </w:rPr>
  </w:style>
  <w:style w:type="paragraph" w:styleId="656">
    <w:name w:val="Título"/>
    <w:basedOn w:val="602"/>
    <w:next w:val="657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57">
    <w:name w:val="Corpo de texto"/>
    <w:basedOn w:val="602"/>
    <w:next w:val="657"/>
    <w:link w:val="602"/>
    <w:pPr>
      <w:spacing w:after="140" w:before="0" w:line="276" w:lineRule="auto"/>
    </w:pPr>
  </w:style>
  <w:style w:type="paragraph" w:styleId="658">
    <w:name w:val="Lista"/>
    <w:basedOn w:val="663"/>
    <w:next w:val="658"/>
    <w:link w:val="602"/>
    <w:rPr>
      <w:sz w:val="24"/>
    </w:rPr>
  </w:style>
  <w:style w:type="paragraph" w:styleId="659">
    <w:name w:val="Legenda"/>
    <w:basedOn w:val="661"/>
    <w:next w:val="659"/>
    <w:link w:val="602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660">
    <w:name w:val="Índice"/>
    <w:basedOn w:val="602"/>
    <w:next w:val="660"/>
    <w:link w:val="602"/>
    <w:pPr>
      <w:suppressLineNumbers w:val="1"/>
    </w:pPr>
  </w:style>
  <w:style w:type="paragraph" w:styleId="661">
    <w:name w:val="Standard"/>
    <w:next w:val="661"/>
    <w:link w:val="602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662">
    <w:name w:val="Título1"/>
    <w:basedOn w:val="602"/>
    <w:next w:val="657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63">
    <w:name w:val="Text body"/>
    <w:basedOn w:val="661"/>
    <w:next w:val="663"/>
    <w:link w:val="602"/>
    <w:pPr>
      <w:spacing w:after="140" w:before="0" w:line="288" w:lineRule="auto"/>
    </w:pPr>
  </w:style>
  <w:style w:type="paragraph" w:styleId="664">
    <w:name w:val="Heading"/>
    <w:basedOn w:val="661"/>
    <w:next w:val="663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65">
    <w:name w:val="Index"/>
    <w:basedOn w:val="661"/>
    <w:next w:val="665"/>
    <w:link w:val="602"/>
    <w:pPr>
      <w:suppressLineNumbers w:val="1"/>
    </w:pPr>
    <w:rPr>
      <w:sz w:val="24"/>
    </w:rPr>
  </w:style>
  <w:style w:type="paragraph" w:styleId="666">
    <w:name w:val="Table Contents"/>
    <w:basedOn w:val="661"/>
    <w:next w:val="666"/>
    <w:link w:val="602"/>
    <w:pPr>
      <w:suppressLineNumbers w:val="1"/>
    </w:pPr>
  </w:style>
  <w:style w:type="paragraph" w:styleId="667">
    <w:name w:val="Table Heading"/>
    <w:basedOn w:val="666"/>
    <w:next w:val="667"/>
    <w:link w:val="602"/>
    <w:pPr>
      <w:suppressLineNumbers w:val="1"/>
      <w:jc w:val="center"/>
    </w:pPr>
    <w:rPr>
      <w:b w:val="1"/>
      <w:bCs w:val="1"/>
    </w:rPr>
  </w:style>
  <w:style w:type="paragraph" w:styleId="668">
    <w:name w:val="Footnote"/>
    <w:basedOn w:val="661"/>
    <w:next w:val="668"/>
    <w:link w:val="602"/>
    <w:pPr>
      <w:suppressLineNumbers w:val="1"/>
      <w:ind w:left="339" w:right="0" w:hanging="339"/>
    </w:pPr>
    <w:rPr>
      <w:sz w:val="20"/>
      <w:szCs w:val="20"/>
    </w:rPr>
  </w:style>
  <w:style w:type="paragraph" w:styleId="669">
    <w:name w:val="Cabeçalho e Rodapé"/>
    <w:basedOn w:val="602"/>
    <w:next w:val="669"/>
    <w:link w:val="602"/>
    <w:pPr>
      <w:suppressLineNumbers w:val="1"/>
      <w:tabs>
        <w:tab w:val="center" w:leader="none" w:pos="4819"/>
        <w:tab w:val="right" w:leader="none" w:pos="9638"/>
      </w:tabs>
    </w:pPr>
  </w:style>
  <w:style w:type="paragraph" w:styleId="670">
    <w:name w:val="Rodapé"/>
    <w:basedOn w:val="661"/>
    <w:next w:val="670"/>
    <w:link w:val="602"/>
    <w:pPr>
      <w:suppressLineNumbers w:val="1"/>
    </w:pPr>
  </w:style>
  <w:style w:type="paragraph" w:styleId="671">
    <w:name w:val="Cabeçalho"/>
    <w:basedOn w:val="661"/>
    <w:next w:val="671"/>
    <w:link w:val="602"/>
    <w:pPr>
      <w:suppressLineNumbers w:val="1"/>
    </w:pPr>
  </w:style>
  <w:style w:type="paragraph" w:styleId="672">
    <w:name w:val="Default"/>
    <w:next w:val="672"/>
    <w:link w:val="602"/>
    <w:pPr>
      <w:widowControl w:val="0"/>
    </w:pPr>
    <w:rPr>
      <w:rFonts w:ascii="Times New Roman" w:eastAsia="Times New Roman" w:hAnsi="Times New Roman"/>
      <w:color w:val="000000"/>
      <w:sz w:val="24"/>
      <w:szCs w:val="24"/>
      <w:lang w:bidi="hi-IN" w:eastAsia="zh-CN" w:val="pt-BR"/>
    </w:rPr>
  </w:style>
  <w:style w:type="paragraph" w:styleId="673">
    <w:name w:val="Normal (Web)"/>
    <w:basedOn w:val="661"/>
    <w:next w:val="673"/>
    <w:link w:val="602"/>
    <w:pPr>
      <w:spacing w:after="100" w:before="10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674">
    <w:name w:val="Corpo A"/>
    <w:next w:val="674"/>
    <w:link w:val="602"/>
    <w:pPr>
      <w:widowControl w:val="1"/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bidi="ar-SA" w:eastAsia="zh-CN" w:val="pt-BR"/>
    </w:rPr>
  </w:style>
  <w:style w:type="paragraph" w:styleId="675">
    <w:name w:val="Conteúdo da tabela"/>
    <w:basedOn w:val="602"/>
    <w:next w:val="675"/>
    <w:link w:val="602"/>
    <w:pPr>
      <w:widowControl w:val="0"/>
      <w:suppressLineNumbers w:val="1"/>
    </w:pPr>
  </w:style>
  <w:style w:type="paragraph" w:styleId="676">
    <w:name w:val="Título de tabela"/>
    <w:basedOn w:val="675"/>
    <w:next w:val="676"/>
    <w:pPr>
      <w:suppressLineNumbers w:val="1"/>
      <w:jc w:val="center"/>
    </w:pPr>
    <w:rPr>
      <w:b w:val="1"/>
      <w:bCs w:val="1"/>
    </w:rPr>
  </w:style>
  <w:style w:type="character" w:styleId="1974" w:default="1">
    <w:name w:val="Default Paragraph Font"/>
    <w:uiPriority w:val="1"/>
    <w:semiHidden w:val="1"/>
    <w:unhideWhenUsed w:val="1"/>
  </w:style>
  <w:style w:type="numbering" w:styleId="1975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Gi8u1NGgig/dsb3leabzdMND+w==">AMUW2mWzbt55jPvSrGJaX7iwVBeth7OK0RSKbj71QjjomDXQsoy+gN1EA9idNH7C+JL58JwwFXEoAOwUt3ViY3qxKGsKxFCerjsCOLesc9+94GP1GmleWqE=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