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CHAMADA INTERNA Nº.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014/2023 - CV-ODH/CODERC/PRE/UFSM EDITAL DE APOIO ÀS AÇÕES DA CASA VERÔNICA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 PARA O PROJETO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rtl w:val="0"/>
        </w:rPr>
        <w:t xml:space="preserve">ESCUTa-me? Psicologia Clínica Social”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ação de extensão denominada </w:t>
      </w:r>
      <w:r w:rsidDel="00000000" w:rsidR="00000000" w:rsidRPr="00000000">
        <w:rPr>
          <w:rFonts w:ascii="Arial" w:cs="Arial" w:eastAsia="Arial" w:hAnsi="Arial"/>
          <w:rtl w:val="0"/>
        </w:rPr>
        <w:t xml:space="preserve">ESCUTa-me? Psicologia Clínica Social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torna pública a abertura de inscrições para seleção de BOLSISTA para cadastro reserva, para atuar junto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Observatório de Direitos Humanos da UFSM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conforme descrição das vagas no item 3 desta chamada.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As inscrições dos/as interessados/as serão realizadas somente por meio eletrônico, pelo e-mail indicado pelo projeto correspondente no item 3 desta chamada, no período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19/04 a 23/04/2023.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Será considerada válida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apenas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inscrição dos/as candidatos/as que preencherem todos os campos da Ficha de inscrição (ANEXO II);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O/A candidato/a selecionado/a deve estar matriculado(a) regularmente 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não deve dispor de outra bolsa institucional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 PROCESSO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92" w:right="0" w:hanging="43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seleção será realizada conforme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Cumprimento dos requisitos dispostos no item 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Entrevista individual realizada com os/as candidatos/as, na qual será avaliado se as competências e habilidades destes/as são compatíveis para a execução das atividades propostas, bem como as experiências em atividades relacionadas à temática de atuação;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ind w:left="1224" w:hanging="504.0000000000000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Será dada preferência a acadêmicos dos cursos especificados no item 3 e com experiência em atividades relacionadas à área de demanda de cada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1224" w:hanging="504.0000000000000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Será considerado para fins de análise o pertencimento a grupos sociais minoritarios,  tais como estudantes negros(as) e/ou LGBTQIAPN+, estudantes que tenham benefício socioeconomico, tendo preferência em caso de empate.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51" w:right="0" w:hanging="284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Será considerado para fins de análise  a participação em grupos\núcleos de pesquisa que dirigem suas leituras e ações ligadas aos campos da psicologia social e dos Estudos de Gênero.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3. DAS VAGAS</w:t>
      </w:r>
    </w:p>
    <w:tbl>
      <w:tblPr>
        <w:tblStyle w:val="Table1"/>
        <w:tblW w:w="9669.0" w:type="dxa"/>
        <w:jc w:val="center"/>
        <w:tblLayout w:type="fixed"/>
        <w:tblLook w:val="0400"/>
      </w:tblPr>
      <w:tblGrid>
        <w:gridCol w:w="2999"/>
        <w:gridCol w:w="910"/>
        <w:gridCol w:w="2388"/>
        <w:gridCol w:w="3372"/>
        <w:tblGridChange w:id="0">
          <w:tblGrid>
            <w:gridCol w:w="2999"/>
            <w:gridCol w:w="910"/>
            <w:gridCol w:w="2388"/>
            <w:gridCol w:w="3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Requisitos*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Contato para inscrição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ind w:left="1224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ESCUTa-me? Psicologia Clínica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horas de disponibilidade semanal;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Será dada preferência a estudantes do Curso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Psicologia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que tenham cursado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pelo menos o 4ª semestre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Ter conhecimento do Pacote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Word, Excel, Power Point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Aceitar trabalhar no Projeto voluntariamente, caso não seja contemplado com Bolsa.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inscrição será realizada por meio do e-mail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adriane.roso@ufsm.br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entrevistas seguirão o cronograma conforme o item 5 deste edital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Coordenador/a do Projeto: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Adriane Roso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* Plano de atividades de cada bolsista no Anexo I.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 DA CARGA HORÁRIA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O/A candidato/a deverá ter disponibilidade de 20 (vinte) horas semanais, que corresponderá à remuneração de R$ 400,00 (quatrocentos reais)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4.2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início das atividades será no dia 01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2022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5. DO CRONOGR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AMA</w:t>
      </w:r>
      <w:r w:rsidDel="00000000" w:rsidR="00000000" w:rsidRPr="00000000">
        <w:rPr>
          <w:rtl w:val="0"/>
        </w:rPr>
      </w:r>
    </w:p>
    <w:tbl>
      <w:tblPr>
        <w:tblStyle w:val="Table2"/>
        <w:tblW w:w="8664.0" w:type="dxa"/>
        <w:jc w:val="center"/>
        <w:tblLayout w:type="fixed"/>
        <w:tblLook w:val="0400"/>
      </w:tblPr>
      <w:tblGrid>
        <w:gridCol w:w="4322"/>
        <w:gridCol w:w="4342"/>
        <w:tblGridChange w:id="0">
          <w:tblGrid>
            <w:gridCol w:w="4322"/>
            <w:gridCol w:w="4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Inscrições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19/04 a 24/04/2023*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Entrevistas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22/04/2022 a 25/04/2022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29/04/2023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01/05/2023 a 30/11/2023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 DAS DISPOSIÇÕES GERAIS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Tão logo tenha início as atividades, o/a bolsista deverá ter, ou prontamente providenciar, conta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corrente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em seu nome (onde seja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titular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), para o recebimento de bolsa mensal. A conta não poderá ser conjunta.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Os casos omissos serão resolvidos pelo/a coordenador/a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A qualquer tempo, a presente chamada poderá ser revogada ou anulada, no todo ou em parte, seja por decisão unilateral da Pró-Reitoria de Extensão – PRE, seja por motivo de interesse público ou exigência legal, em decisão fundamentada, sem que isso implique direito a indenização ou reclamação de qualquer natureza.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Outras informações podem ser obtidas pelo e-mail </w:t>
      </w: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adriane.roso@ufsm.br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ou pelo telefone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(55) 991181953.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Santa Maria,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abril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Adriane Roso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do/a coordenador/a da 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DESCRIÇÃO DO PROJETO E PLANO DE ATIVIDADES DOS BOLSISTAS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Sobre o 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Programa integra as atividades do Projeto de Ensino VIDAS - Grupo de Pesquisa, Ensino e Extensão em Psicologia Social Crítica. O Espaço Multiprofissional “Casa Verônica”, vinculado ao Observatório de Direitos Humanos da Pró-Reitoria de Extensão da UFSM, será o núcleo estruturante de todas as ações, considerando que o mesmo, junto com o Comitê de Igualdade de Gênero (CIG) da UFSM, é responsável pela implementação dos eixos (i) Promoção da Igualdade de Gênero, (ii) Enfrentamento e Responsabilização em Casos de Violência e (iii) e Assistência. Envolvendo atividades extensionistas e de desenvolvimento institucional, o objetivo geral do Programa é cultivar uma clínica social por meio da criação de espaços de escuta do sujeito, utilizando o aparelho psíquico grupal como um dispositivo potencializador de encontros de inconscientes numa configuração de vínculos e como um dispositivo político. Por meio do trabalho de uma equipe interdisciplinar e intersetorial, o Programa contará com a parceria do Presídio Estadual de Júlio de Castilhos, do Centro Social Marista – Santa Marta, do Projeto Pallotti, e com a participação da Coordenadoria de Ações Educacionais (CAED) e do Serviço de Atenção Integral ao Estudante (SATIE). Serão utilizados a técnica de grupos operativos, a proposta de Clínica Social do trabalho psíquico em situação de grupo (“grupos terapêuticos”), Cine-debate, intervenções psicossociais e educativas. Serão também  realizadas atividades formativas.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Plano de atividades do bolsista:</w:t>
      </w:r>
    </w:p>
    <w:p w:rsidR="00000000" w:rsidDel="00000000" w:rsidP="00000000" w:rsidRDefault="00000000" w:rsidRPr="00000000" w14:paraId="0000005A">
      <w:pPr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40" w:line="288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Bolsista 1 e Bolsista 2</w:t>
      </w:r>
    </w:p>
    <w:p w:rsidR="00000000" w:rsidDel="00000000" w:rsidP="00000000" w:rsidRDefault="00000000" w:rsidRPr="00000000" w14:paraId="0000005B">
      <w:pPr>
        <w:widowControl w:val="1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185"/>
        <w:gridCol w:w="1815"/>
        <w:tblGridChange w:id="0">
          <w:tblGrid>
            <w:gridCol w:w="7185"/>
            <w:gridCol w:w="18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DESCRIÇÃO DA ATIVIDADE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Bolsista 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Participação como aprendiz nas atividades grupais e nas intervenções realizadas na Casa Verônica, nos espaços abertos da UFSM e na Antiga Reitoria.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Bolsista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Participação como aprendiz nas atividades grupais e nas intervenções realizadas junto à CAED e SATIE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01/05/2023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Auxílio na transcrição das gravações das atividades e anotações no Diário de Campo.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01/05/2023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nos encontros do Núcleo de Pesquisa VIDAS e auxílio na elaboração das Atas dos encontros e das reuniões da equipe de trabalho.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01/05/2023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Bolsista 1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Ler os relatórios de atividades realizadas junto ao Presídio, de modo a contribuir com sugestões e análises. 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Bolsista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Ler os relatórios de atividades realizadas junto a escola e projeto Pallotti, de modo a contribuir com sugestões e análises.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01/06/2023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de Atividades formativas para o trabalho no campo grupal, na disciplina PSI847 - Orientação em Projeto de Extensão Aplicados à Psicologia I, Doutorado PPGP.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01/05/2023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nos encontros de orientação, supervisão e avaliação.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01/05/2023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Levantamento bibliográfico sobre as temáticas e eixos prioritários e auxílio na escrita de um artigo.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01/08/2023 até 31/09/2023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Bolsista 2: Registrar as atividades do Núcleo por meio de imagens (fotos e filmagens), realizando o download e armazenamento do material.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01/05/2023 até 31/11/2023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Apresentar, no Salão de Extensão durante a JAI, os resultados preliminares da ação no ano da vigência de sua bolsa (conforme plano de trabalho), indicando que é bolsista ODH/CASA VERÔNICA/PRE/UFSM.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Conforme data do evento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Participar do Salão de Extensão durante a JAI como ouvinte, ou do Fórum Regional Permanente de Extensão, no ano de vigência da bolsa, além de reuniões/encontros sempre que solicitado pela Pró-Reitoria de Extensão/Casa Verônica.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Conforme data do evento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Participar do VI Fórum de Direitos Humanos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Conforme data do evento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Escrita do relatório Final da Bolsa.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10\12\2023 até 31/01/2024</w:t>
            </w:r>
          </w:p>
        </w:tc>
      </w:tr>
    </w:tbl>
    <w:p w:rsidR="00000000" w:rsidDel="00000000" w:rsidP="00000000" w:rsidRDefault="00000000" w:rsidRPr="00000000" w14:paraId="00000076">
      <w:pPr>
        <w:widowControl w:val="1"/>
        <w:spacing w:after="0" w:line="276" w:lineRule="auto"/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014/2023 - CV-ODH/CODERC/PRE/UFSM EDITAL DE APOIO ÀS AÇÕES DA CASA VERÔNICA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AÇÃO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rtl w:val="0"/>
        </w:rPr>
        <w:t xml:space="preserve">ESCUTa-me? Psicologia Clínica Social”</w:t>
      </w: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center"/>
        <w:tblLayout w:type="fixed"/>
        <w:tblLook w:val="0400"/>
      </w:tblPr>
      <w:tblGrid>
        <w:gridCol w:w="4965"/>
        <w:gridCol w:w="4365"/>
        <w:tblGridChange w:id="0">
          <w:tblGrid>
            <w:gridCol w:w="4965"/>
            <w:gridCol w:w="436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(SOCIAL)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E-MAIL(S)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TRABALHA FORA DA UFSM? (   ) SIM   (   ) NÃO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BANCÁRIOS:**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widowControl w:val="1"/>
        <w:ind w:left="0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u w:val="singl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); b) o titular da conta deve ser a/o candidata/o à bolsa, ou seja, a conta não pode ser de terceiros e </w:t>
      </w:r>
      <w:r w:rsidDel="00000000" w:rsidR="00000000" w:rsidRPr="00000000">
        <w:rPr>
          <w:rtl w:val="0"/>
        </w:rPr>
        <w:t xml:space="preserve">c) a conta não pode ser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88" w:lineRule="auto"/>
        <w:jc w:val="center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center"/>
        <w:tblLayout w:type="fixed"/>
        <w:tblLook w:val="0400"/>
      </w:tblPr>
      <w:tblGrid>
        <w:gridCol w:w="4965"/>
        <w:gridCol w:w="4365"/>
        <w:tblGridChange w:id="0">
          <w:tblGrid>
            <w:gridCol w:w="4965"/>
            <w:gridCol w:w="4365"/>
          </w:tblGrid>
        </w:tblGridChange>
      </w:tblGrid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88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Informações complementares (opcional)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line="288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Identidade de gênero*: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288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Cor/raça*: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spacing w:line="288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Orientação sexual*: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88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É mãe ou pai: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sim, qual idade do(a) filho:</w:t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widowControl w:val="1"/>
        <w:ind w:left="0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* objetivo de conhecer a quais grupos populacionais e identitários pertencem as e os bolsistas da casa verônica, recomenda-se a oportunização de bolsas para estudantes pertencentes a grupos sociais minoritários ou que enfrentam vulnerabilidades decorrentes das questões de gênero.</w:t>
      </w:r>
    </w:p>
    <w:p w:rsidR="00000000" w:rsidDel="00000000" w:rsidP="00000000" w:rsidRDefault="00000000" w:rsidRPr="00000000" w14:paraId="000000A4">
      <w:pPr>
        <w:widowControl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6.0" w:type="dxa"/>
        <w:jc w:val="left"/>
        <w:tblInd w:w="-10.0" w:type="dxa"/>
        <w:tblLayout w:type="fixed"/>
        <w:tblLook w:val="0400"/>
      </w:tblPr>
      <w:tblGrid>
        <w:gridCol w:w="1002"/>
        <w:gridCol w:w="1701"/>
        <w:gridCol w:w="1984"/>
        <w:gridCol w:w="1701"/>
        <w:gridCol w:w="1559"/>
        <w:gridCol w:w="1559"/>
        <w:tblGridChange w:id="0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QUADRO DE HORÁRIOS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(Escreva os horários disponíveis para a atividade de bolsista;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 somar 20h)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candidato(a) à bolsa,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1º) Ser estudante da Universidade Federal de Santa Maria (UFSM), em situação regular (matriculado); e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2º)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estar vinculado a outra bolsa, independente do órgão financiador. 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66.0" w:type="dxa"/>
        <w:jc w:val="left"/>
        <w:tblInd w:w="-70.0" w:type="dxa"/>
        <w:tblLayout w:type="fixed"/>
        <w:tblLook w:val="0400"/>
      </w:tblPr>
      <w:tblGrid>
        <w:gridCol w:w="2061"/>
        <w:gridCol w:w="7505"/>
        <w:tblGridChange w:id="0">
          <w:tblGrid>
            <w:gridCol w:w="2061"/>
            <w:gridCol w:w="7505"/>
          </w:tblGrid>
        </w:tblGridChange>
      </w:tblGrid>
      <w:tr>
        <w:trPr>
          <w:cantSplit w:val="0"/>
          <w:trHeight w:val="53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inscrição: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......./......./............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do(a) candidato(a) (pode ser digitalizada):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88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720"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* Em função da Professora Adriane encontrar-se enferma, a data de inscrição foi ampliada até 24\04\2023, até às 17 horas.</w:t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3" w:right="2096" w:firstLine="0"/>
      <w:jc w:val="left"/>
      <w:rPr>
        <w:rFonts w:ascii="Arial" w:cs="Arial" w:eastAsia="Arial" w:hAnsi="Arial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  <w:rtl w:val="0"/>
      </w:rPr>
      <w:t xml:space="preserve">MINISTÉRIO DA EDUCAÇÃO</w:t>
      <w:br w:type="textWrapping"/>
      <w:t xml:space="preserve">UNIVERSIDADE FEDERAL DE SANTA MARIA</w:t>
      <w:br w:type="textWrapping"/>
      <w:t xml:space="preserve">PRÓ-REITORIA DE EXTENSÃO</w:t>
      <w:br w:type="textWrapping"/>
      <w:t xml:space="preserve">OBSERVATÓRIO DE DIREITOS HUMANOS</w:t>
    </w:r>
    <w:r w:rsidDel="00000000" w:rsidR="00000000" w:rsidRPr="00000000">
      <w:drawing>
        <wp:anchor allowOverlap="1" behindDoc="0" distB="0" distT="0" distL="114832" distR="114832" hidden="0" layoutInCell="1" locked="0" relativeHeight="0" simplePos="0">
          <wp:simplePos x="0" y="0"/>
          <wp:positionH relativeFrom="column">
            <wp:posOffset>59759</wp:posOffset>
          </wp:positionH>
          <wp:positionV relativeFrom="paragraph">
            <wp:posOffset>-165586</wp:posOffset>
          </wp:positionV>
          <wp:extent cx="1019814" cy="1009015"/>
          <wp:effectExtent b="0" l="0" r="0" t="0"/>
          <wp:wrapSquare wrapText="bothSides" distB="0" distT="0" distL="114832" distR="114832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814" cy="1009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843" w:right="2096" w:firstLine="0"/>
      <w:jc w:val="left"/>
      <w:rPr>
        <w:rFonts w:ascii="Arial" w:cs="Arial" w:eastAsia="Arial" w:hAnsi="Arial"/>
        <w:color w:val="00000a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a"/>
        <w:sz w:val="18"/>
        <w:szCs w:val="18"/>
        <w:rtl w:val="0"/>
      </w:rPr>
      <w:t xml:space="preserve">ESPAÇO MULTIPROFISSIONAL CASA VERÔNICA</w:t>
    </w:r>
  </w:p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7143"/>
        <w:tab w:val="right" w:leader="none" w:pos="14287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cs="Times New Roman" w:eastAsia="Times New Roman" w:hAnsi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1">
    <w:name w:val="Heading 1"/>
    <w:basedOn w:val="602"/>
    <w:next w:val="602"/>
    <w:link w:val="12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9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602"/>
    <w:next w:val="602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602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paragraph" w:styleId="32">
    <w:name w:val="Title"/>
    <w:basedOn w:val="602"/>
    <w:next w:val="602"/>
    <w:link w:val="33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602"/>
    <w:next w:val="602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602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2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602"/>
    <w:next w:val="602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Fill="text1" w:themeFillTint="000040" w:themeTint="000040" w:val="clear"/>
    </w:tblPr>
    <w:tblStylePr w:type="band1Horz">
      <w:tcPr>
        <w:shd w:color="ffffff" w:themeColor="text1" w:themeFill="text1" w:themeFillTint="000075" w:themeTint="000075" w:val="clear"/>
      </w:tcPr>
    </w:tblStylePr>
    <w:tblStylePr w:type="band1Vert">
      <w:tcPr>
        <w:shd w:color="ffffff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themeFill="text1" w:val="clear"/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Fill="accent1" w:themeFillTint="000034" w:themeTint="000034" w:val="clear"/>
    </w:tblPr>
    <w:tblStylePr w:type="band1Horz">
      <w:tcPr>
        <w:shd w:color="ffffff" w:themeColor="accent1" w:themeFill="accent1" w:themeFillTint="000075" w:themeTint="000075" w:val="clear"/>
      </w:tcPr>
    </w:tblStylePr>
    <w:tblStylePr w:type="band1Vert">
      <w:tcPr>
        <w:shd w:color="ffffff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themeFill="accent1" w:val="clear"/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Fill="accent2" w:themeFillTint="000032" w:themeTint="000032" w:val="clear"/>
    </w:tblPr>
    <w:tblStylePr w:type="band1Horz">
      <w:tcPr>
        <w:shd w:color="ffffff" w:themeColor="accent2" w:themeFill="accent2" w:themeFillTint="000075" w:themeTint="000075" w:val="clear"/>
      </w:tcPr>
    </w:tblStylePr>
    <w:tblStylePr w:type="band1Vert">
      <w:tcPr>
        <w:shd w:color="ffffff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themeFill="accent2" w:val="clear"/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Fill="accent3" w:themeFillTint="000034" w:themeTint="000034" w:val="clear"/>
    </w:tblPr>
    <w:tblStylePr w:type="band1Horz">
      <w:tcPr>
        <w:shd w:color="ffffff" w:themeColor="accent3" w:themeFill="accent3" w:themeFillTint="000075" w:themeTint="000075" w:val="clear"/>
      </w:tcPr>
    </w:tblStylePr>
    <w:tblStylePr w:type="band1Vert">
      <w:tcPr>
        <w:shd w:color="ffffff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themeFill="accent3" w:val="clear"/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Fill="accent4" w:themeFillTint="000034" w:themeTint="000034" w:val="clear"/>
    </w:tblPr>
    <w:tblStylePr w:type="band1Horz">
      <w:tcPr>
        <w:shd w:color="ffffff" w:themeColor="accent4" w:themeFill="accent4" w:themeFillTint="000075" w:themeTint="000075" w:val="clear"/>
      </w:tcPr>
    </w:tblStylePr>
    <w:tblStylePr w:type="band1Vert">
      <w:tcPr>
        <w:shd w:color="ffffff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themeFill="accent4" w:val="clear"/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Fill="accent5" w:themeFillTint="000034" w:themeTint="000034" w:val="clear"/>
    </w:tblPr>
    <w:tblStylePr w:type="band1Horz">
      <w:tcPr>
        <w:shd w:color="ffffff" w:themeColor="accent5" w:themeFill="accent5" w:themeFillTint="000075" w:themeTint="000075" w:val="clear"/>
      </w:tcPr>
    </w:tblStylePr>
    <w:tblStylePr w:type="band1Vert">
      <w:tcPr>
        <w:shd w:color="ffffff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themeFill="accent5" w:val="clear"/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Fill="accent6" w:themeFillTint="000034" w:themeTint="000034" w:val="clear"/>
    </w:tblPr>
    <w:tblStylePr w:type="band1Horz">
      <w:tcPr>
        <w:shd w:color="ffffff" w:themeColor="accent6" w:themeFill="accent6" w:themeFillTint="000075" w:themeTint="000075" w:val="clear"/>
      </w:tcPr>
    </w:tblStylePr>
    <w:tblStylePr w:type="band1Vert">
      <w:tcPr>
        <w:shd w:color="ffffff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themeFill="accent6" w:val="clear"/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tcPr>
        <w:shd w:color="ffffff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602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 w:val="1"/>
    <w:rPr>
      <w:vertAlign w:val="superscript"/>
    </w:rPr>
  </w:style>
  <w:style w:type="paragraph" w:styleId="176">
    <w:name w:val="endnote text"/>
    <w:basedOn w:val="602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 w:val="1"/>
    <w:unhideWhenUsed w:val="1"/>
    <w:rPr>
      <w:vertAlign w:val="superscript"/>
    </w:rPr>
  </w:style>
  <w:style w:type="paragraph" w:styleId="179">
    <w:name w:val="toc 1"/>
    <w:basedOn w:val="602"/>
    <w:next w:val="602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602"/>
    <w:next w:val="602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602"/>
    <w:next w:val="602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602"/>
    <w:next w:val="602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602"/>
    <w:next w:val="602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602"/>
    <w:next w:val="602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602"/>
    <w:next w:val="602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602"/>
    <w:next w:val="602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602"/>
    <w:next w:val="602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602"/>
    <w:next w:val="602"/>
    <w:uiPriority w:val="99"/>
    <w:unhideWhenUsed w:val="1"/>
    <w:pPr>
      <w:spacing w:after="0" w:afterAutospacing="0"/>
    </w:pPr>
  </w:style>
  <w:style w:type="table" w:styleId="60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602" w:default="1">
    <w:name w:val="Normal"/>
    <w:next w:val="602"/>
    <w:link w:val="602"/>
    <w:pPr>
      <w:widowControl w:val="0"/>
    </w:pPr>
    <w:rPr>
      <w:rFonts w:ascii="Liberation Serif" w:eastAsia="SimSun" w:hAnsi="Liberation Serif"/>
      <w:color w:val="auto"/>
      <w:sz w:val="24"/>
      <w:szCs w:val="24"/>
      <w:lang w:bidi="hi-IN" w:eastAsia="zh-CN" w:val="pt-BR"/>
    </w:rPr>
  </w:style>
  <w:style w:type="paragraph" w:styleId="603">
    <w:name w:val="Título 4"/>
    <w:basedOn w:val="661"/>
    <w:next w:val="661"/>
    <w:link w:val="602"/>
    <w:pPr>
      <w:keepNext w:val="1"/>
      <w:numPr>
        <w:ilvl w:val="3"/>
        <w:numId w:val="1"/>
      </w:numPr>
      <w:spacing w:after="10" w:before="10" w:line="360" w:lineRule="auto"/>
      <w:jc w:val="both"/>
      <w:outlineLvl w:val="3"/>
    </w:pPr>
    <w:rPr>
      <w:color w:val="000000"/>
    </w:rPr>
  </w:style>
  <w:style w:type="character" w:styleId="604">
    <w:name w:val="WW8Num1z0"/>
    <w:next w:val="604"/>
  </w:style>
  <w:style w:type="character" w:styleId="605">
    <w:name w:val="WW8Num1z1"/>
    <w:next w:val="605"/>
    <w:link w:val="602"/>
  </w:style>
  <w:style w:type="character" w:styleId="606">
    <w:name w:val="WW8Num1z2"/>
    <w:next w:val="606"/>
  </w:style>
  <w:style w:type="character" w:styleId="607">
    <w:name w:val="WW8Num1z3"/>
    <w:next w:val="607"/>
    <w:link w:val="602"/>
  </w:style>
  <w:style w:type="character" w:styleId="608">
    <w:name w:val="WW8Num1z4"/>
    <w:next w:val="608"/>
  </w:style>
  <w:style w:type="character" w:styleId="609">
    <w:name w:val="WW8Num1z5"/>
    <w:next w:val="609"/>
  </w:style>
  <w:style w:type="character" w:styleId="610">
    <w:name w:val="WW8Num1z6"/>
    <w:next w:val="610"/>
    <w:link w:val="602"/>
  </w:style>
  <w:style w:type="character" w:styleId="611">
    <w:name w:val="WW8Num1z7"/>
    <w:next w:val="611"/>
  </w:style>
  <w:style w:type="character" w:styleId="612">
    <w:name w:val="WW8Num1z8"/>
    <w:next w:val="612"/>
  </w:style>
  <w:style w:type="character" w:styleId="613">
    <w:name w:val="WW8Num2z0"/>
    <w:next w:val="613"/>
    <w:link w:val="602"/>
    <w:rPr>
      <w:rFonts w:ascii="Times New Roman" w:hAnsi="Times New Roman"/>
      <w:b w:val="1"/>
    </w:rPr>
  </w:style>
  <w:style w:type="character" w:styleId="614">
    <w:name w:val="WW8Num2z1"/>
    <w:next w:val="614"/>
    <w:link w:val="602"/>
    <w:rPr>
      <w:rFonts w:ascii="Times New Roman" w:hAnsi="Times New Roman"/>
      <w:b w:val="1"/>
      <w:sz w:val="22"/>
      <w:szCs w:val="24"/>
    </w:rPr>
  </w:style>
  <w:style w:type="character" w:styleId="615">
    <w:name w:val="WW8Num2z2"/>
    <w:next w:val="615"/>
    <w:link w:val="602"/>
    <w:rPr>
      <w:rFonts w:ascii="Times New Roman" w:hAnsi="Times New Roman"/>
      <w:sz w:val="22"/>
      <w:szCs w:val="22"/>
    </w:rPr>
  </w:style>
  <w:style w:type="character" w:styleId="616">
    <w:name w:val="WW8Num2z3"/>
    <w:next w:val="616"/>
    <w:link w:val="602"/>
  </w:style>
  <w:style w:type="character" w:styleId="617">
    <w:name w:val="WW8Num2z4"/>
    <w:next w:val="617"/>
  </w:style>
  <w:style w:type="character" w:styleId="618">
    <w:name w:val="WW8Num2z5"/>
    <w:next w:val="618"/>
    <w:link w:val="653"/>
  </w:style>
  <w:style w:type="character" w:styleId="619">
    <w:name w:val="WW8Num2z6"/>
    <w:next w:val="619"/>
    <w:link w:val="602"/>
  </w:style>
  <w:style w:type="character" w:styleId="620">
    <w:name w:val="WW8Num2z7"/>
    <w:next w:val="620"/>
    <w:link w:val="602"/>
  </w:style>
  <w:style w:type="character" w:styleId="621">
    <w:name w:val="WW8Num2z8"/>
    <w:next w:val="621"/>
    <w:link w:val="602"/>
  </w:style>
  <w:style w:type="character" w:styleId="622">
    <w:name w:val="Fonte parág. padrão"/>
    <w:next w:val="622"/>
    <w:link w:val="602"/>
  </w:style>
  <w:style w:type="character" w:styleId="623">
    <w:name w:val="WW8Num3z0"/>
    <w:next w:val="623"/>
    <w:link w:val="602"/>
    <w:rPr>
      <w:b w:val="1"/>
    </w:rPr>
  </w:style>
  <w:style w:type="character" w:styleId="624">
    <w:name w:val="WW8Num3z1"/>
    <w:next w:val="624"/>
    <w:link w:val="602"/>
    <w:rPr>
      <w:b w:val="1"/>
    </w:rPr>
  </w:style>
  <w:style w:type="character" w:styleId="625">
    <w:name w:val="WW8Num3z2"/>
    <w:next w:val="625"/>
    <w:link w:val="602"/>
  </w:style>
  <w:style w:type="character" w:styleId="626">
    <w:name w:val="WW8Num3z3"/>
    <w:next w:val="626"/>
    <w:link w:val="602"/>
  </w:style>
  <w:style w:type="character" w:styleId="627">
    <w:name w:val="WW8Num3z4"/>
    <w:next w:val="627"/>
    <w:link w:val="602"/>
  </w:style>
  <w:style w:type="character" w:styleId="628">
    <w:name w:val="WW8Num3z5"/>
    <w:next w:val="628"/>
    <w:link w:val="602"/>
  </w:style>
  <w:style w:type="character" w:styleId="629">
    <w:name w:val="WW8Num3z6"/>
    <w:next w:val="629"/>
    <w:link w:val="602"/>
  </w:style>
  <w:style w:type="character" w:styleId="630">
    <w:name w:val="WW8Num3z7"/>
    <w:next w:val="630"/>
    <w:link w:val="602"/>
  </w:style>
  <w:style w:type="character" w:styleId="631">
    <w:name w:val="WW8Num3z8"/>
    <w:next w:val="631"/>
    <w:link w:val="602"/>
  </w:style>
  <w:style w:type="character" w:styleId="632">
    <w:name w:val="WW8Num4z0"/>
    <w:next w:val="632"/>
    <w:link w:val="602"/>
    <w:rPr>
      <w:b w:val="1"/>
    </w:rPr>
  </w:style>
  <w:style w:type="character" w:styleId="633">
    <w:name w:val="WW8Num4z1"/>
    <w:next w:val="633"/>
    <w:link w:val="602"/>
    <w:rPr>
      <w:rFonts w:ascii="Arial" w:hAnsi="Arial"/>
      <w:b w:val="1"/>
      <w:sz w:val="22"/>
      <w:szCs w:val="22"/>
    </w:rPr>
  </w:style>
  <w:style w:type="character" w:styleId="634">
    <w:name w:val="WW8Num4z2"/>
    <w:next w:val="634"/>
    <w:link w:val="602"/>
  </w:style>
  <w:style w:type="character" w:styleId="635">
    <w:name w:val="WW8Num4z3"/>
    <w:next w:val="635"/>
    <w:link w:val="602"/>
  </w:style>
  <w:style w:type="character" w:styleId="636">
    <w:name w:val="WW8Num4z4"/>
    <w:next w:val="636"/>
    <w:link w:val="602"/>
  </w:style>
  <w:style w:type="character" w:styleId="637">
    <w:name w:val="WW8Num4z5"/>
    <w:next w:val="637"/>
    <w:link w:val="602"/>
  </w:style>
  <w:style w:type="character" w:styleId="638">
    <w:name w:val="WW8Num4z6"/>
    <w:next w:val="638"/>
    <w:link w:val="602"/>
  </w:style>
  <w:style w:type="character" w:styleId="639">
    <w:name w:val="WW8Num4z7"/>
    <w:next w:val="639"/>
    <w:link w:val="602"/>
  </w:style>
  <w:style w:type="character" w:styleId="640">
    <w:name w:val="WW8Num4z8"/>
    <w:next w:val="640"/>
    <w:link w:val="602"/>
  </w:style>
  <w:style w:type="character" w:styleId="641">
    <w:name w:val="WW8Num5z0"/>
    <w:next w:val="641"/>
    <w:link w:val="602"/>
    <w:rPr>
      <w:b w:val="1"/>
    </w:rPr>
  </w:style>
  <w:style w:type="character" w:styleId="642">
    <w:name w:val="WW8Num5z1"/>
    <w:next w:val="642"/>
    <w:link w:val="602"/>
    <w:rPr>
      <w:b w:val="1"/>
    </w:rPr>
  </w:style>
  <w:style w:type="character" w:styleId="643">
    <w:name w:val="WW8Num5z2"/>
    <w:next w:val="643"/>
    <w:link w:val="602"/>
  </w:style>
  <w:style w:type="character" w:styleId="644">
    <w:name w:val="WW8Num5z3"/>
    <w:next w:val="644"/>
    <w:link w:val="602"/>
  </w:style>
  <w:style w:type="character" w:styleId="645">
    <w:name w:val="WW8Num5z4"/>
    <w:next w:val="645"/>
    <w:link w:val="602"/>
  </w:style>
  <w:style w:type="character" w:styleId="646">
    <w:name w:val="WW8Num5z5"/>
    <w:next w:val="646"/>
    <w:link w:val="602"/>
  </w:style>
  <w:style w:type="character" w:styleId="647">
    <w:name w:val="WW8Num5z6"/>
    <w:next w:val="647"/>
    <w:link w:val="602"/>
  </w:style>
  <w:style w:type="character" w:styleId="648">
    <w:name w:val="WW8Num5z7"/>
    <w:next w:val="648"/>
    <w:link w:val="602"/>
  </w:style>
  <w:style w:type="character" w:styleId="649">
    <w:name w:val="WW8Num5z8"/>
    <w:next w:val="649"/>
    <w:link w:val="602"/>
  </w:style>
  <w:style w:type="character" w:styleId="650">
    <w:name w:val="Fonte parág. padrão1"/>
    <w:next w:val="650"/>
    <w:link w:val="602"/>
  </w:style>
  <w:style w:type="character" w:styleId="651">
    <w:name w:val="Footnote Symbol"/>
    <w:next w:val="651"/>
    <w:link w:val="602"/>
  </w:style>
  <w:style w:type="character" w:styleId="652">
    <w:name w:val="Footnote anchor"/>
    <w:next w:val="652"/>
    <w:link w:val="602"/>
    <w:rPr>
      <w:vertAlign w:val="superscript"/>
    </w:rPr>
  </w:style>
  <w:style w:type="character" w:styleId="653">
    <w:name w:val="Hyperlink1"/>
    <w:next w:val="653"/>
    <w:link w:val="602"/>
    <w:rPr>
      <w:color w:val="000080"/>
      <w:u w:val="single"/>
    </w:rPr>
  </w:style>
  <w:style w:type="character" w:styleId="654">
    <w:name w:val="FollowedHyperlink"/>
    <w:next w:val="654"/>
    <w:link w:val="602"/>
    <w:rPr>
      <w:color w:val="800080"/>
      <w:u w:val="single"/>
    </w:rPr>
  </w:style>
  <w:style w:type="character" w:styleId="655">
    <w:name w:val="Link da Internet"/>
    <w:next w:val="655"/>
    <w:link w:val="602"/>
    <w:rPr>
      <w:color w:val="000080"/>
      <w:u w:val="single"/>
      <w:lang w:bidi="en-US" w:val="en-US"/>
    </w:rPr>
  </w:style>
  <w:style w:type="paragraph" w:styleId="656">
    <w:name w:val="Título"/>
    <w:basedOn w:val="602"/>
    <w:next w:val="657"/>
    <w:link w:val="6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657">
    <w:name w:val="Corpo de texto"/>
    <w:basedOn w:val="602"/>
    <w:next w:val="657"/>
    <w:link w:val="602"/>
    <w:pPr>
      <w:spacing w:after="140" w:before="0" w:line="276" w:lineRule="auto"/>
    </w:pPr>
  </w:style>
  <w:style w:type="paragraph" w:styleId="658">
    <w:name w:val="Lista"/>
    <w:basedOn w:val="663"/>
    <w:next w:val="658"/>
    <w:link w:val="602"/>
    <w:rPr>
      <w:sz w:val="24"/>
    </w:rPr>
  </w:style>
  <w:style w:type="paragraph" w:styleId="659">
    <w:name w:val="Legenda"/>
    <w:basedOn w:val="661"/>
    <w:next w:val="659"/>
    <w:link w:val="602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660">
    <w:name w:val="Índice"/>
    <w:basedOn w:val="602"/>
    <w:next w:val="660"/>
    <w:link w:val="602"/>
    <w:pPr>
      <w:suppressLineNumbers w:val="1"/>
    </w:pPr>
  </w:style>
  <w:style w:type="paragraph" w:styleId="661">
    <w:name w:val="Standard"/>
    <w:next w:val="661"/>
    <w:link w:val="602"/>
    <w:pPr>
      <w:widowControl w:val="0"/>
    </w:pPr>
    <w:rPr>
      <w:rFonts w:ascii="Liberation Serif" w:eastAsia="SimSun" w:hAnsi="Liberation Serif"/>
      <w:color w:val="auto"/>
      <w:sz w:val="24"/>
      <w:szCs w:val="24"/>
      <w:lang w:bidi="hi-IN" w:eastAsia="zh-CN" w:val="pt-BR"/>
    </w:rPr>
  </w:style>
  <w:style w:type="paragraph" w:styleId="662">
    <w:name w:val="Título1"/>
    <w:basedOn w:val="602"/>
    <w:next w:val="657"/>
    <w:link w:val="6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663">
    <w:name w:val="Text body"/>
    <w:basedOn w:val="661"/>
    <w:next w:val="663"/>
    <w:link w:val="602"/>
    <w:pPr>
      <w:spacing w:after="140" w:before="0" w:line="288" w:lineRule="auto"/>
    </w:pPr>
  </w:style>
  <w:style w:type="paragraph" w:styleId="664">
    <w:name w:val="Heading"/>
    <w:basedOn w:val="661"/>
    <w:next w:val="663"/>
    <w:link w:val="602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665">
    <w:name w:val="Index"/>
    <w:basedOn w:val="661"/>
    <w:next w:val="665"/>
    <w:link w:val="602"/>
    <w:pPr>
      <w:suppressLineNumbers w:val="1"/>
    </w:pPr>
    <w:rPr>
      <w:sz w:val="24"/>
    </w:rPr>
  </w:style>
  <w:style w:type="paragraph" w:styleId="666">
    <w:name w:val="Table Contents"/>
    <w:basedOn w:val="661"/>
    <w:next w:val="666"/>
    <w:link w:val="602"/>
    <w:pPr>
      <w:suppressLineNumbers w:val="1"/>
    </w:pPr>
  </w:style>
  <w:style w:type="paragraph" w:styleId="667">
    <w:name w:val="Table Heading"/>
    <w:basedOn w:val="666"/>
    <w:next w:val="667"/>
    <w:link w:val="602"/>
    <w:pPr>
      <w:suppressLineNumbers w:val="1"/>
      <w:jc w:val="center"/>
    </w:pPr>
    <w:rPr>
      <w:b w:val="1"/>
      <w:bCs w:val="1"/>
    </w:rPr>
  </w:style>
  <w:style w:type="paragraph" w:styleId="668">
    <w:name w:val="Footnote"/>
    <w:basedOn w:val="661"/>
    <w:next w:val="668"/>
    <w:link w:val="602"/>
    <w:pPr>
      <w:suppressLineNumbers w:val="1"/>
      <w:ind w:left="339" w:right="0" w:hanging="339"/>
    </w:pPr>
    <w:rPr>
      <w:sz w:val="20"/>
      <w:szCs w:val="20"/>
    </w:rPr>
  </w:style>
  <w:style w:type="paragraph" w:styleId="669">
    <w:name w:val="Cabeçalho e Rodapé"/>
    <w:basedOn w:val="602"/>
    <w:next w:val="669"/>
    <w:link w:val="602"/>
    <w:pPr>
      <w:suppressLineNumbers w:val="1"/>
      <w:tabs>
        <w:tab w:val="center" w:leader="none" w:pos="4819"/>
        <w:tab w:val="right" w:leader="none" w:pos="9638"/>
      </w:tabs>
    </w:pPr>
  </w:style>
  <w:style w:type="paragraph" w:styleId="670">
    <w:name w:val="Rodapé"/>
    <w:basedOn w:val="661"/>
    <w:next w:val="670"/>
    <w:link w:val="602"/>
    <w:pPr>
      <w:suppressLineNumbers w:val="1"/>
    </w:pPr>
  </w:style>
  <w:style w:type="paragraph" w:styleId="671">
    <w:name w:val="Cabeçalho"/>
    <w:basedOn w:val="661"/>
    <w:next w:val="671"/>
    <w:link w:val="602"/>
    <w:pPr>
      <w:suppressLineNumbers w:val="1"/>
    </w:pPr>
  </w:style>
  <w:style w:type="paragraph" w:styleId="672">
    <w:name w:val="Default"/>
    <w:next w:val="672"/>
    <w:link w:val="602"/>
    <w:pPr>
      <w:widowControl w:val="0"/>
    </w:pPr>
    <w:rPr>
      <w:rFonts w:ascii="Times New Roman" w:eastAsia="Times New Roman" w:hAnsi="Times New Roman"/>
      <w:color w:val="000000"/>
      <w:sz w:val="24"/>
      <w:szCs w:val="24"/>
      <w:lang w:bidi="hi-IN" w:eastAsia="zh-CN" w:val="pt-BR"/>
    </w:rPr>
  </w:style>
  <w:style w:type="paragraph" w:styleId="673">
    <w:name w:val="Normal (Web)"/>
    <w:basedOn w:val="661"/>
    <w:next w:val="673"/>
    <w:link w:val="602"/>
    <w:pPr>
      <w:spacing w:after="100" w:before="10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674">
    <w:name w:val="Corpo A"/>
    <w:next w:val="674"/>
    <w:link w:val="602"/>
    <w:pPr>
      <w:widowControl w:val="1"/>
      <w:spacing w:line="360" w:lineRule="auto"/>
      <w:jc w:val="both"/>
    </w:pPr>
    <w:rPr>
      <w:rFonts w:ascii="Times New Roman" w:eastAsia="Arial Unicode MS" w:hAnsi="Times New Roman"/>
      <w:color w:val="00000a"/>
      <w:sz w:val="24"/>
      <w:szCs w:val="24"/>
      <w:lang w:bidi="ar-SA" w:eastAsia="zh-CN" w:val="pt-BR"/>
    </w:rPr>
  </w:style>
  <w:style w:type="paragraph" w:styleId="675">
    <w:name w:val="Conteúdo da tabela"/>
    <w:basedOn w:val="602"/>
    <w:next w:val="675"/>
    <w:link w:val="602"/>
    <w:pPr>
      <w:widowControl w:val="0"/>
      <w:suppressLineNumbers w:val="1"/>
    </w:pPr>
  </w:style>
  <w:style w:type="paragraph" w:styleId="676">
    <w:name w:val="Título de tabela"/>
    <w:basedOn w:val="675"/>
    <w:next w:val="676"/>
    <w:pPr>
      <w:suppressLineNumbers w:val="1"/>
      <w:jc w:val="center"/>
    </w:pPr>
    <w:rPr>
      <w:b w:val="1"/>
      <w:bCs w:val="1"/>
    </w:rPr>
  </w:style>
  <w:style w:type="character" w:styleId="1974" w:default="1">
    <w:name w:val="Default Paragraph Font"/>
    <w:uiPriority w:val="1"/>
    <w:semiHidden w:val="1"/>
    <w:unhideWhenUsed w:val="1"/>
  </w:style>
  <w:style w:type="numbering" w:styleId="1975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lIhx8cW7mzSx9PUkoyuJdE9p8A==">AMUW2mVExrHAy66FOKynmrjpzsWwUg9WxDMwBBGvriQo6gAeZ05MMFLOxnaNKhQ/fPXCnLjqeR4uzBNZFpBs/8xSETuTuIjG6Nj3xMbUhYc81N0ILi9y/iY=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