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5A" w:rsidRDefault="004F10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91515" cy="755650"/>
            <wp:effectExtent l="0" t="0" r="0" b="6350"/>
            <wp:wrapSquare wrapText="bothSides"/>
            <wp:docPr id="1" name="Imagem 1" descr="Manual de Identidade Visual – C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nual de Identidade Visual – CC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25733" t="10157" r="26887" b="9114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4" name="Imagem 4" descr="https://lh3.googleusercontent.com/eatqVm6TEeVr6MzvkbnMMdD5Z0FUFxTWzp1Vd7F2quVZKoHReKQFJ01RyZ_YL0GIu09dsbWikEerIPwODWyqeyd1S4qXXlMC4DKDgRPT9XnI-AOCvJ0Bw6kCz9QD7ogPoEMkUv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https://lh3.googleusercontent.com/eatqVm6TEeVr6MzvkbnMMdD5Z0FUFxTWzp1Vd7F2quVZKoHReKQFJ01RyZ_YL0GIu09dsbWikEerIPwODWyqeyd1S4qXXlMC4DKDgRPT9XnI-AOCvJ0Bw6kCz9QD7ogPoEMkUvx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598" cy="80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Ministério da Educação</w:t>
      </w:r>
    </w:p>
    <w:p w:rsidR="00EB7A5A" w:rsidRDefault="004F10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de Santa Maria</w:t>
      </w:r>
    </w:p>
    <w:p w:rsidR="00EB7A5A" w:rsidRDefault="004F10A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Centro de Ciências da Saúde</w:t>
      </w:r>
    </w:p>
    <w:p w:rsidR="00EB7A5A" w:rsidRDefault="00D364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Coordenação do </w:t>
      </w:r>
      <w:r w:rsidR="004F10A8">
        <w:rPr>
          <w:rFonts w:ascii="Times New Roman" w:hAnsi="Times New Roman" w:cs="Times New Roman"/>
          <w:sz w:val="24"/>
        </w:rPr>
        <w:t>Curso de Fonoaudiologia</w:t>
      </w:r>
    </w:p>
    <w:p w:rsidR="00EB7A5A" w:rsidRDefault="00EB7A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B7A5A" w:rsidRDefault="004F10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EDITAL Nº </w:t>
      </w:r>
      <w:r w:rsidR="00D36471" w:rsidRPr="00D36471">
        <w:rPr>
          <w:rFonts w:ascii="Times New Roman" w:hAnsi="Times New Roman" w:cs="Times New Roman"/>
          <w:b/>
          <w:sz w:val="24"/>
        </w:rPr>
        <w:t>0</w:t>
      </w:r>
      <w:r w:rsidR="00870AA3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/2021</w:t>
      </w:r>
    </w:p>
    <w:p w:rsidR="00EB7A5A" w:rsidRDefault="00EB7A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EB7A5A" w:rsidRDefault="004F10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SELEÇÃO MONITORIA </w:t>
      </w:r>
      <w:proofErr w:type="gramStart"/>
      <w:r>
        <w:rPr>
          <w:rFonts w:ascii="Times New Roman" w:hAnsi="Times New Roman" w:cs="Times New Roman"/>
          <w:b/>
          <w:sz w:val="24"/>
        </w:rPr>
        <w:t>NÃO-SUBSIDIADA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PARA A DISCIPLINA DE DISFAGIA II (FON0016)</w:t>
      </w:r>
    </w:p>
    <w:p w:rsidR="00EB7A5A" w:rsidRDefault="00EB7A5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B7A5A" w:rsidRDefault="004F10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Curso de Fonoaudiologia torna público que estão abertas as inscrições para preenchimento de uma vaga de monitoria voluntária na disciplina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II (FON0016), conforme critérios abaixo:</w:t>
      </w:r>
    </w:p>
    <w:p w:rsidR="00EB7A5A" w:rsidRDefault="00EB7A5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EB7A5A" w:rsidRDefault="004F10A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MONITORIA</w:t>
      </w:r>
    </w:p>
    <w:p w:rsidR="00EB7A5A" w:rsidRDefault="004F10A8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Será disponibilizada uma vaga (01) para monitor voluntário.</w:t>
      </w:r>
    </w:p>
    <w:p w:rsidR="00EB7A5A" w:rsidRDefault="004F10A8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Carga horária: 6 horas semanais</w:t>
      </w:r>
    </w:p>
    <w:p w:rsidR="00EB7A5A" w:rsidRDefault="004F10A8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Tempo de duração da atividade – 01 de abril a 30 de setembro de 2021 (</w:t>
      </w:r>
      <w:proofErr w:type="gramStart"/>
      <w:r>
        <w:rPr>
          <w:rFonts w:ascii="Times New Roman" w:hAnsi="Times New Roman" w:cs="Times New Roman"/>
          <w:sz w:val="24"/>
        </w:rPr>
        <w:t>6</w:t>
      </w:r>
      <w:proofErr w:type="gramEnd"/>
      <w:r>
        <w:rPr>
          <w:rFonts w:ascii="Times New Roman" w:hAnsi="Times New Roman" w:cs="Times New Roman"/>
          <w:sz w:val="24"/>
        </w:rPr>
        <w:t xml:space="preserve"> meses).</w:t>
      </w:r>
    </w:p>
    <w:p w:rsidR="00EB7A5A" w:rsidRDefault="004F10A8">
      <w:pPr>
        <w:pStyle w:val="PargrafodaLista"/>
        <w:numPr>
          <w:ilvl w:val="1"/>
          <w:numId w:val="1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Realização das atividades de monitor - as atividades serão realizada de forma totalmente remota enquanto a Disciplina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II for mantida por meio do Regime de Exercícios Domiciliares Especiais (REDE). </w:t>
      </w:r>
    </w:p>
    <w:p w:rsidR="00EB7A5A" w:rsidRDefault="00EB7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INSCRIÇÕES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De 15 a 19 de março de 2021.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 Através dos e-mails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hyperlink r:id="rId11" w:history="1">
        <w:r>
          <w:rPr>
            <w:rStyle w:val="Hyperlink"/>
            <w:rFonts w:ascii="Times New Roman" w:hAnsi="Times New Roman" w:cs="Times New Roman"/>
            <w:color w:val="auto"/>
            <w:sz w:val="24"/>
          </w:rPr>
          <w:t>bolzan.geovana@ufsm.br</w:t>
        </w:r>
      </w:hyperlink>
      <w:r>
        <w:rPr>
          <w:rFonts w:ascii="Times New Roman" w:hAnsi="Times New Roman" w:cs="Times New Roman"/>
          <w:sz w:val="24"/>
        </w:rPr>
        <w:t xml:space="preserve"> e </w:t>
      </w:r>
      <w:hyperlink r:id="rId12" w:history="1">
        <w:r>
          <w:rPr>
            <w:rStyle w:val="Hyperlink"/>
            <w:rFonts w:ascii="Times New Roman" w:hAnsi="Times New Roman" w:cs="Times New Roman"/>
            <w:color w:val="auto"/>
            <w:sz w:val="24"/>
          </w:rPr>
          <w:t>fonoaudiologia@ufsm.br</w:t>
        </w:r>
      </w:hyperlink>
      <w:r>
        <w:rPr>
          <w:rFonts w:ascii="Times New Roman" w:hAnsi="Times New Roman" w:cs="Times New Roman"/>
          <w:sz w:val="24"/>
        </w:rPr>
        <w:t xml:space="preserve">, com o assunto “Inscrição monitoria”. O candidato deverá informar no corpo do e-mail: nome completo, número de matrícula e semestre que está cursando. 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 No ato da inscrição, enviar: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Histórico Escolar Simplificado: comprobatório da matrícula atual no curso de Fonoaudiologia e das notas nas disciplinas referidas no item 3.2 deste Edital.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b) Comprovantes de cursos e atividades realizados nas áreas de Fonoaudiologia Hospitalar e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B7A5A" w:rsidRDefault="00EB7A5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PRÉ-REQUISITOS 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3.1 Estar regularmente matriculado no Curso de Fonoaudiologia da UFSM.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 Ter sido aprovado nas disciplinas Fonoaudiologia Hospitalar,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 e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II.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 Ter disponibilidade de 6 horas semanais.</w:t>
      </w: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AS ATRIBUIÇÕES DO ALUNO MONITOR, NESTA MODALIDADE, CONSTITUEM-SE DAS SEGUINTES ATIVIDADES:</w:t>
      </w:r>
    </w:p>
    <w:p w:rsidR="00EB7A5A" w:rsidRDefault="004F10A8">
      <w:pPr>
        <w:pStyle w:val="PargrafodaLista"/>
        <w:numPr>
          <w:ilvl w:val="1"/>
          <w:numId w:val="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Auxiliar o professor em tarefas didáticas;</w:t>
      </w:r>
    </w:p>
    <w:p w:rsidR="00EB7A5A" w:rsidRDefault="004F10A8">
      <w:pPr>
        <w:pStyle w:val="PargrafodaLista"/>
        <w:numPr>
          <w:ilvl w:val="1"/>
          <w:numId w:val="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Auxiliar o professor em tarefas de pesquisa e extensão compatíveis com o seu grau de conhecimento;</w:t>
      </w:r>
    </w:p>
    <w:p w:rsidR="00EB7A5A" w:rsidRDefault="004F10A8">
      <w:pPr>
        <w:pStyle w:val="PargrafodaLista"/>
        <w:numPr>
          <w:ilvl w:val="1"/>
          <w:numId w:val="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Auxiliar os professores na realização de trabalhos práticos e experimentais compatíveis com o seu grau de conhecimento e experiência na disciplina;</w:t>
      </w:r>
    </w:p>
    <w:p w:rsidR="00EB7A5A" w:rsidRDefault="004F10A8">
      <w:pPr>
        <w:pStyle w:val="PargrafodaLista"/>
        <w:numPr>
          <w:ilvl w:val="1"/>
          <w:numId w:val="2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Auxiliar o professor na orientação de alunos matriculados na Disciplina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II, visando sua integração na Universidade.</w:t>
      </w:r>
    </w:p>
    <w:p w:rsidR="00EB7A5A" w:rsidRDefault="00EB7A5A">
      <w:pPr>
        <w:pStyle w:val="PargrafodaLista"/>
        <w:tabs>
          <w:tab w:val="left" w:pos="142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SELEÇÃO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 A seleção </w:t>
      </w:r>
      <w:proofErr w:type="gramStart"/>
      <w:r>
        <w:rPr>
          <w:rFonts w:ascii="Times New Roman" w:hAnsi="Times New Roman" w:cs="Times New Roman"/>
          <w:sz w:val="24"/>
        </w:rPr>
        <w:t>do(</w:t>
      </w:r>
      <w:proofErr w:type="gramEnd"/>
      <w:r>
        <w:rPr>
          <w:rFonts w:ascii="Times New Roman" w:hAnsi="Times New Roman" w:cs="Times New Roman"/>
          <w:sz w:val="24"/>
        </w:rPr>
        <w:t>a) candidato(a) se dará por meio de análise e avaliação dos documentos encaminhados no ato da inscrição: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Histórico Escolar Simplificado: média simples das notas das disciplinas Fonoaudiologia Hospitalar,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 e </w:t>
      </w:r>
      <w:proofErr w:type="spellStart"/>
      <w:r>
        <w:rPr>
          <w:rFonts w:ascii="Times New Roman" w:hAnsi="Times New Roman" w:cs="Times New Roman"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II (peso de 80% para a seleção).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Comprovantes de cursos (finalizados até fevereiro de 2021) e atividades realizadas </w:t>
      </w:r>
      <w:r>
        <w:rPr>
          <w:rFonts w:ascii="Times New Roman" w:hAnsi="Times New Roman" w:cs="Times New Roman"/>
          <w:b/>
          <w:bCs/>
          <w:sz w:val="24"/>
        </w:rPr>
        <w:t xml:space="preserve">nas áreas de Fonoaudiologia Hospitalar 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Disfagia</w:t>
      </w:r>
      <w:proofErr w:type="spellEnd"/>
      <w:r>
        <w:rPr>
          <w:rFonts w:ascii="Times New Roman" w:hAnsi="Times New Roman" w:cs="Times New Roman"/>
          <w:sz w:val="24"/>
        </w:rPr>
        <w:t xml:space="preserve"> (peso de 20% para a seleção), sendo que serão atribuídos </w:t>
      </w:r>
      <w:proofErr w:type="gramStart"/>
      <w:r>
        <w:rPr>
          <w:rFonts w:ascii="Times New Roman" w:hAnsi="Times New Roman" w:cs="Times New Roman"/>
          <w:sz w:val="24"/>
        </w:rPr>
        <w:t>1</w:t>
      </w:r>
      <w:proofErr w:type="gramEnd"/>
      <w:r>
        <w:rPr>
          <w:rFonts w:ascii="Times New Roman" w:hAnsi="Times New Roman" w:cs="Times New Roman"/>
          <w:sz w:val="24"/>
        </w:rPr>
        <w:t xml:space="preserve"> ponto para cada hora de curso; 5 pontos para cada projeto e 5 pontos para cada trabalho científico do tipo anais, apresentação oral, pôster, palestra, e 15 pontos para artigo aceito ou publicado na área temática da monitoria.</w:t>
      </w:r>
    </w:p>
    <w:p w:rsidR="00EB7A5A" w:rsidRDefault="00EB7A5A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RESULTADOS</w:t>
      </w: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O resultado da seleção será divulgado através do e-mail dos inscritos e também do site do Curso de Fonoaudiologia UFSM no dia 23 de março de 2021. Caso </w:t>
      </w:r>
      <w:proofErr w:type="gramStart"/>
      <w:r>
        <w:rPr>
          <w:rFonts w:ascii="Times New Roman" w:hAnsi="Times New Roman" w:cs="Times New Roman"/>
          <w:sz w:val="24"/>
        </w:rPr>
        <w:t>hajam</w:t>
      </w:r>
      <w:proofErr w:type="gramEnd"/>
      <w:r>
        <w:rPr>
          <w:rFonts w:ascii="Times New Roman" w:hAnsi="Times New Roman" w:cs="Times New Roman"/>
          <w:sz w:val="24"/>
        </w:rPr>
        <w:t xml:space="preserve"> recursos, esses deverão ser enviados para os mesmos emails da inscrição, no dia 24 de março. O resultado da análise de recursos será </w:t>
      </w:r>
      <w:proofErr w:type="gramStart"/>
      <w:r>
        <w:rPr>
          <w:rFonts w:ascii="Times New Roman" w:hAnsi="Times New Roman" w:cs="Times New Roman"/>
          <w:sz w:val="24"/>
        </w:rPr>
        <w:t>divulgada</w:t>
      </w:r>
      <w:proofErr w:type="gramEnd"/>
      <w:r>
        <w:rPr>
          <w:rFonts w:ascii="Times New Roman" w:hAnsi="Times New Roman" w:cs="Times New Roman"/>
          <w:sz w:val="24"/>
        </w:rPr>
        <w:t xml:space="preserve"> no dia 25 de março através do e-mail dos inscritos e também do site do Curso de Fonoaudiologia UFSM.</w:t>
      </w: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DISPOSIÇÕES GERAIS</w:t>
      </w:r>
    </w:p>
    <w:p w:rsidR="00EB7A5A" w:rsidRDefault="004F10A8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 xml:space="preserve">6.1 </w:t>
      </w:r>
      <w:bookmarkStart w:id="0" w:name="_GoBack"/>
      <w:r>
        <w:rPr>
          <w:rFonts w:ascii="Times New Roman" w:hAnsi="Times New Roman" w:cs="Times New Roman"/>
          <w:sz w:val="24"/>
        </w:rPr>
        <w:t>Resolução</w:t>
      </w:r>
      <w:proofErr w:type="gramEnd"/>
      <w:r>
        <w:rPr>
          <w:rFonts w:ascii="Times New Roman" w:hAnsi="Times New Roman" w:cs="Times New Roman"/>
          <w:sz w:val="24"/>
        </w:rPr>
        <w:t xml:space="preserve"> nº 007/2000: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Institui e Regulamenta na UFSM o Programa de Monitoria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Não-Subsidiada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Cursos de Graduação.</w:t>
      </w:r>
    </w:p>
    <w:bookmarkEnd w:id="0"/>
    <w:p w:rsidR="00EB7A5A" w:rsidRDefault="004F10A8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 Resolução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nº 036/2019: Altera a Resolução N. 007/2000, que institui e regulamenta na Universidade Federal de Santa Maria (UFSM) o Programa de Monitoria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Não-Subsidiada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os Cursos de Graduação</w:t>
      </w: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Santa Maria, 09 de março de </w:t>
      </w:r>
      <w:proofErr w:type="gramStart"/>
      <w:r>
        <w:rPr>
          <w:rFonts w:ascii="Times New Roman" w:hAnsi="Times New Roman" w:cs="Times New Roman"/>
          <w:sz w:val="24"/>
        </w:rPr>
        <w:t>2021</w:t>
      </w:r>
      <w:proofErr w:type="gramEnd"/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4F10A8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Profª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Drª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Geovana</w:t>
      </w:r>
      <w:proofErr w:type="spellEnd"/>
      <w:r>
        <w:rPr>
          <w:rFonts w:ascii="Times New Roman" w:hAnsi="Times New Roman" w:cs="Times New Roman"/>
          <w:sz w:val="24"/>
        </w:rPr>
        <w:t xml:space="preserve"> de Paula </w:t>
      </w:r>
      <w:proofErr w:type="spellStart"/>
      <w:r>
        <w:rPr>
          <w:rFonts w:ascii="Times New Roman" w:hAnsi="Times New Roman" w:cs="Times New Roman"/>
          <w:sz w:val="24"/>
        </w:rPr>
        <w:t>Bolzan</w:t>
      </w:r>
      <w:proofErr w:type="spellEnd"/>
    </w:p>
    <w:p w:rsidR="00EB7A5A" w:rsidRDefault="004F10A8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Professora da disciplina</w:t>
      </w:r>
    </w:p>
    <w:p w:rsidR="00EB7A5A" w:rsidRDefault="004F10A8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SIAPE 1231387</w:t>
      </w:r>
    </w:p>
    <w:p w:rsidR="00EB7A5A" w:rsidRDefault="00EB7A5A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B7A5A" w:rsidRDefault="00EB7A5A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EB7A5A" w:rsidSect="00EB7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BAE" w:rsidRDefault="000C3BAE">
      <w:pPr>
        <w:spacing w:line="240" w:lineRule="auto"/>
      </w:pPr>
      <w:r>
        <w:separator/>
      </w:r>
    </w:p>
  </w:endnote>
  <w:endnote w:type="continuationSeparator" w:id="0">
    <w:p w:rsidR="000C3BAE" w:rsidRDefault="000C3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BAE" w:rsidRDefault="000C3BAE">
      <w:pPr>
        <w:spacing w:after="0" w:line="240" w:lineRule="auto"/>
      </w:pPr>
      <w:r>
        <w:separator/>
      </w:r>
    </w:p>
  </w:footnote>
  <w:footnote w:type="continuationSeparator" w:id="0">
    <w:p w:rsidR="000C3BAE" w:rsidRDefault="000C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0707F"/>
    <w:multiLevelType w:val="multilevel"/>
    <w:tmpl w:val="2740707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CBF6767"/>
    <w:multiLevelType w:val="multilevel"/>
    <w:tmpl w:val="2CBF676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C69"/>
    <w:rsid w:val="000C3BAE"/>
    <w:rsid w:val="00257D6F"/>
    <w:rsid w:val="00397397"/>
    <w:rsid w:val="004C5439"/>
    <w:rsid w:val="004F10A8"/>
    <w:rsid w:val="005A3992"/>
    <w:rsid w:val="006023EA"/>
    <w:rsid w:val="006116AB"/>
    <w:rsid w:val="00667C85"/>
    <w:rsid w:val="006F2071"/>
    <w:rsid w:val="00870AA3"/>
    <w:rsid w:val="008B4C69"/>
    <w:rsid w:val="00AF3D83"/>
    <w:rsid w:val="00B52BCC"/>
    <w:rsid w:val="00B61522"/>
    <w:rsid w:val="00B6708B"/>
    <w:rsid w:val="00C25FEF"/>
    <w:rsid w:val="00D36471"/>
    <w:rsid w:val="00E5176B"/>
    <w:rsid w:val="00EB7A5A"/>
    <w:rsid w:val="00EF1749"/>
    <w:rsid w:val="00FB42EE"/>
    <w:rsid w:val="1DF029C3"/>
    <w:rsid w:val="4C1C1D02"/>
    <w:rsid w:val="5C41045A"/>
    <w:rsid w:val="69937303"/>
    <w:rsid w:val="6BD5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5A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EB7A5A"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B7A5A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B7A5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B7A5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B7A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B7A5A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7A5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7A5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noaudiologia@ufs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lzan.geovana@ufsm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image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Valdani Dias</dc:creator>
  <cp:lastModifiedBy>PC</cp:lastModifiedBy>
  <cp:revision>4</cp:revision>
  <dcterms:created xsi:type="dcterms:W3CDTF">2021-03-09T11:03:00Z</dcterms:created>
  <dcterms:modified xsi:type="dcterms:W3CDTF">2021-03-12T17:56:00Z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