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0000001">
      <w:pPr>
        <w:pStyle w:val="Title"/>
        <w:spacing w:before="274" w:line="312" w:lineRule="auto"/>
        <w:ind w:firstLine="138"/>
        <w:rPr/>
      </w:pPr>
      <w:r>
        <w:rPr>
          <w:rtl w:val="0"/>
        </w:rPr>
        <w:t xml:space="preserve">REGULAMENTO PARA O CÔMPUTO DAS ATIVIDADES COMPLEMENTARES DE EXTENSÃO (ACEx) DOS CURSOS DE DIREITO DIURNO E NOTURNO</w:t>
      </w:r>
    </w:p>
    <w:p w14:paraId="00000002">
      <w:pPr>
        <w:keepNext w:val="false"/>
        <w:keepLines w:val="false"/>
        <w:pageBreakBefore w:val="false"/>
        <w:widowControl w:val="false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98" w:line="240" w:lineRule="auto"/>
        <w:ind w:right="0" w:firstLine="0" w:left="0"/>
        <w:jc w:val="left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  <w:r>
        <w:rPr>
          <w:rtl w:val="0"/>
        </w:rPr>
      </w:r>
    </w:p>
    <w:p w14:paraId="00000003">
      <w:pPr>
        <w:pStyle w:val="Title"/>
        <w:ind w:firstLine="0" w:left="140"/>
        <w:rPr/>
      </w:pPr>
      <w:r>
        <w:rPr>
          <w:rtl w:val="0"/>
        </w:rPr>
        <w:t xml:space="preserve">VERSÃO 2025</w:t>
      </w:r>
    </w:p>
    <w:p w14:paraId="00000004">
      <w:pPr>
        <w:keepNext w:val="false"/>
        <w:keepLines w:val="false"/>
        <w:pageBreakBefore w:val="false"/>
        <w:widowControl w:val="false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103" w:line="240" w:lineRule="auto"/>
        <w:ind w:right="0" w:firstLine="0" w:left="0"/>
        <w:jc w:val="left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  <w:r>
        <w:rPr>
          <w:rtl w:val="0"/>
        </w:rPr>
      </w:r>
    </w:p>
    <w:p w14:paraId="00000005">
      <w:pPr>
        <w:ind w:right="138" w:firstLine="0" w:left="138"/>
        <w:jc w:val="center"/>
        <w:rPr>
          <w:rFonts w:ascii="Arial" w:hAnsi="Arial" w:eastAsia="Arial" w:cs="Arial"/>
          <w:b/>
          <w:bCs/>
          <w:i/>
          <w:iCs/>
          <w:sz w:val="20"/>
          <w:szCs w:val="20"/>
        </w:rPr>
      </w:pPr>
      <w:r>
        <w:rPr>
          <w:rFonts w:ascii="Arial" w:hAnsi="Arial" w:eastAsia="Arial" w:cs="Arial"/>
          <w:b/>
          <w:bCs/>
          <w:i/>
          <w:iCs/>
          <w:sz w:val="20"/>
          <w:szCs w:val="20"/>
          <w:rtl w:val="0"/>
        </w:rPr>
        <w:t xml:space="preserve">Aprovada pelo colegiado de curso em reunião ordinária em....</w:t>
      </w:r>
    </w:p>
    <w:p w14:paraId="00000006">
      <w:pPr>
        <w:keepNext w:val="false"/>
        <w:keepLines w:val="false"/>
        <w:pageBreakBefore w:val="false"/>
        <w:widowControl w:val="false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170" w:line="240" w:lineRule="auto"/>
        <w:ind w:right="0" w:firstLine="0" w:left="0"/>
        <w:jc w:val="left"/>
        <w:rPr>
          <w:rFonts w:ascii="Arial" w:hAnsi="Arial" w:eastAsia="Arial" w:cs="Arial"/>
          <w:b/>
          <w:bCs/>
          <w:i/>
          <w:iCs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tl w:val="0"/>
        </w:rPr>
      </w:r>
    </w:p>
    <w:p w14:paraId="00000007">
      <w:pPr>
        <w:keepNext w:val="false"/>
        <w:keepLines w:val="false"/>
        <w:pageBreakBefore w:val="false"/>
        <w:widowControl w:val="false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right="133" w:firstLine="707" w:left="143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Esta norma regulamenta as Atividades Complementares de Extensão (ACEx) dos Cursos de Direito Diurno e Noturno UFSM. Entende-se como extensão a articulação entre universidade e sociedade por meio de diversas ações. Essa articulação envolve a troca de conhecimentos e saberes da universidade e da comunidade externa atendida. De acordo com a Resolução 003/2019 da UFSM, a inserção das ações de extensão como componente curricular objetiva contribuir na formação técnico-científica, pessoal e social do estudante. A curricularização da extensão nos Cursos de Direito Diurno e Noturno abrange 250 horas.</w:t>
      </w:r>
    </w:p>
    <w:p w14:paraId="00000008">
      <w:pPr>
        <w:keepNext w:val="false"/>
        <w:keepLines w:val="false"/>
        <w:pageBreakBefore w:val="false"/>
        <w:widowControl w:val="false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247" w:line="240" w:lineRule="auto"/>
        <w:ind w:right="0" w:firstLine="0" w:left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tl w:val="0"/>
        </w:rPr>
      </w:r>
    </w:p>
    <w:p w14:paraId="00000009">
      <w:pPr>
        <w:pStyle w:val="Heading1"/>
        <w:ind w:firstLine="143"/>
        <w:rPr/>
      </w:pPr>
      <w:r>
        <w:rPr>
          <w:rtl w:val="0"/>
        </w:rPr>
        <w:t xml:space="preserve">DO CÔMPUTO DAS ATIVIDADES DE EXTENSÃO</w:t>
      </w:r>
    </w:p>
    <w:p w14:paraId="0000000A">
      <w:pPr>
        <w:keepNext w:val="false"/>
        <w:keepLines w:val="false"/>
        <w:pageBreakBefore w:val="false"/>
        <w:widowControl w:val="false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246" w:line="360" w:lineRule="auto"/>
        <w:ind w:right="135" w:firstLine="707" w:left="143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As ACEx devem estar registradas no Portal de Projetos da UFSM, atender às necessidades da comunidade externa e estar de acordo com a política de Extensão da UFSM.</w:t>
      </w:r>
    </w:p>
    <w:p w14:paraId="0000000B">
      <w:pPr>
        <w:keepNext w:val="false"/>
        <w:keepLines w:val="false"/>
        <w:pageBreakBefore w:val="false"/>
        <w:widowControl w:val="false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119" w:line="360" w:lineRule="auto"/>
        <w:ind w:right="136" w:firstLine="707" w:left="143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As Atividades de Extensão serão computadas na quantidade de horas cumpridas pelo discente, conforme indicado no documento de comprovação, considerando o limite máximo de aproveitamento para cada atividade de 250 horas.</w:t>
      </w:r>
    </w:p>
    <w:p w14:paraId="0000000C">
      <w:pPr>
        <w:keepNext w:val="false"/>
        <w:keepLines w:val="false"/>
        <w:pageBreakBefore w:val="false"/>
        <w:widowControl w:val="false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119" w:line="360" w:lineRule="auto"/>
        <w:ind w:right="133" w:firstLine="707" w:left="143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O cômputo da carga horária será determinado pela Coordenação dos Cursos de Direito Diurno e Noturno, em função da especificidade de cada tipo de ação, com base no documento de comprovação.</w:t>
      </w:r>
    </w:p>
    <w:p w14:paraId="0000000D">
      <w:pPr>
        <w:keepNext w:val="false"/>
        <w:keepLines w:val="false"/>
        <w:pageBreakBefore w:val="false"/>
        <w:widowControl w:val="false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122" w:line="360" w:lineRule="auto"/>
        <w:ind w:right="138" w:firstLine="707" w:left="143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  <w:sectPr>
          <w:headerReference w:type="default" r:id="rId6"/>
          <w:pgSz w:h="16840" w:orient="portrait" w:w="11910"/>
          <w:pgMar w:top="2140" w:right="1559" w:bottom="280" w:left="1559" w:header="692" w:footer="0"/>
          <w:pgNumType w:start="1"/>
        </w:sect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As ações consideradas como ACEx pelos Cursos de Direito Diurno e Noturno distribuem-se da forma indicada no Quadro 1.</w:t>
      </w:r>
    </w:p>
    <w:p w14:paraId="0000000E">
      <w:pPr>
        <w:keepNext w:val="false"/>
        <w:keepLines w:val="false"/>
        <w:pageBreakBefore w:val="false"/>
        <w:widowControl w:val="false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44" w:line="240" w:lineRule="auto"/>
        <w:ind w:right="0" w:firstLine="0" w:left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tl w:val="0"/>
        </w:rPr>
      </w:r>
    </w:p>
    <w:p w14:paraId="0000000F">
      <w:pPr>
        <w:ind w:firstLine="0" w:left="143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Quadro 1 – Ações consideradas como ACEx pelos Cursos de Direito Diurno e Noturno</w:t>
      </w:r>
    </w:p>
    <w:p w14:paraId="00000010">
      <w:pPr>
        <w:keepNext w:val="false"/>
        <w:keepLines w:val="false"/>
        <w:pageBreakBefore w:val="false"/>
        <w:widowControl w:val="false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6" w:line="240" w:lineRule="auto"/>
        <w:ind w:right="0" w:firstLine="0" w:left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tl w:val="0"/>
        </w:rPr>
      </w:r>
    </w:p>
    <w:tbl>
      <w:tblPr>
        <w:tblStyle w:val="Table1"/>
        <w:tblInd w:w="37" w:type="dxa"/>
        <w:tblW w:w="87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00" w:firstRow="0" w:lastRow="0" w:firstColumn="0" w:lastColumn="0" w:noHBand="0" w:noVBand="0"/>
        <w:tblLayout w:type="fixed"/>
      </w:tblPr>
      <w:tblGrid>
        <w:gridCol w:w="1903"/>
        <w:gridCol w:w="3332"/>
        <w:gridCol w:w="3488"/>
        <w:tblGridChange w:id="0">
          <w:tblGrid>
            <w:gridCol w:w="1903"/>
            <w:gridCol w:w="3332"/>
            <w:gridCol w:w="3488"/>
          </w:tblGrid>
        </w:tblGridChange>
      </w:tblGrid>
      <w:tr>
        <w:trPr>
          <w:cantSplit w:val="false"/>
          <w:trHeight w:val="518"/>
          <w:tblHeader w:val="false"/>
        </w:trPr>
        <w:tc>
          <w:tcPr>
            <w:shd w:val="clear" w:fill="d9d9d9"/>
          </w:tcPr>
          <w:p w14:paraId="00000011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143" w:line="240" w:lineRule="auto"/>
              <w:ind w:right="0" w:firstLine="0" w:left="10"/>
              <w:jc w:val="center"/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 xml:space="preserve">Tipo</w:t>
            </w:r>
          </w:p>
        </w:tc>
        <w:tc>
          <w:tcPr>
            <w:shd w:val="clear" w:fill="d9d9d9"/>
          </w:tcPr>
          <w:p w14:paraId="00000012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143" w:line="240" w:lineRule="auto"/>
              <w:ind w:right="122" w:firstLine="0" w:left="131"/>
              <w:jc w:val="center"/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 xml:space="preserve">Descrição</w:t>
            </w:r>
          </w:p>
        </w:tc>
        <w:tc>
          <w:tcPr>
            <w:shd w:val="clear" w:fill="d9d9d9"/>
          </w:tcPr>
          <w:p w14:paraId="00000013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143" w:line="240" w:lineRule="auto"/>
              <w:ind w:right="0" w:firstLine="0" w:left="1077"/>
              <w:jc w:val="left"/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 xml:space="preserve">Comprovação</w:t>
            </w:r>
          </w:p>
        </w:tc>
      </w:tr>
      <w:tr>
        <w:trPr>
          <w:cantSplit w:val="false"/>
          <w:trHeight w:val="1898"/>
          <w:tblHeader w:val="false"/>
        </w:trPr>
        <w:tc>
          <w:tcPr/>
          <w:p w14:paraId="00000014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tl w:val="0"/>
              </w:rPr>
            </w:r>
          </w:p>
          <w:p w14:paraId="00000015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tl w:val="0"/>
              </w:rPr>
            </w:r>
          </w:p>
          <w:p w14:paraId="00000016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29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tl w:val="0"/>
              </w:rPr>
            </w:r>
          </w:p>
          <w:p w14:paraId="00000017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0" w:line="240" w:lineRule="auto"/>
              <w:ind w:right="0" w:hanging="284" w:left="546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 xml:space="preserve">1. Programa de extensão</w:t>
            </w:r>
          </w:p>
        </w:tc>
        <w:tc>
          <w:tcPr/>
          <w:p w14:paraId="00000018">
            <w:pPr>
              <w:jc w:val="center"/>
              <w:rPr/>
            </w:pPr>
            <w:r>
              <w:rPr>
                <w:rtl w:val="0"/>
              </w:rPr>
              <w:t xml:space="preserve">Conjunto articulado de duas ou mais ações de extensão</w:t>
            </w:r>
          </w:p>
          <w:p w14:paraId="00000019">
            <w:pPr>
              <w:jc w:val="center"/>
              <w:rPr/>
            </w:pPr>
            <w:r>
              <w:rPr>
                <w:rtl w:val="0"/>
              </w:rPr>
              <w:t xml:space="preserve">(projetos, cursos, eventos ou prestação de serviços), integrado a atividades de</w:t>
            </w:r>
          </w:p>
          <w:p w14:paraId="0000001A">
            <w:pPr>
              <w:jc w:val="center"/>
              <w:rPr/>
            </w:pPr>
            <w:r>
              <w:rPr>
                <w:rtl w:val="0"/>
              </w:rPr>
              <w:t xml:space="preserve">pesquisa e de ensino, com caráter multidisciplinar e orgânico-institucional, com</w:t>
            </w:r>
          </w:p>
          <w:p w14:paraId="0000001B">
            <w:pPr>
              <w:jc w:val="center"/>
              <w:rPr/>
            </w:pPr>
            <w:r>
              <w:rPr>
                <w:rtl w:val="0"/>
              </w:rPr>
              <w:t xml:space="preserve">integração no território e/ou grupos populacionais e com clareza de diretrizes e</w:t>
            </w:r>
          </w:p>
          <w:p w14:paraId="0000001C">
            <w:pPr>
              <w:jc w:val="center"/>
              <w:rPr/>
            </w:pPr>
            <w:r>
              <w:rPr>
                <w:rtl w:val="0"/>
              </w:rPr>
              <w:t xml:space="preserve">orientação para um objetivo comum, sendo executado a médio e longo prazo,preferencialmente pelo prazo de até 10 anos, tendo estudantes orientados, preferencialmente por pelo menos um servidor docente da instituição.</w:t>
            </w:r>
          </w:p>
        </w:tc>
        <w:tc>
          <w:tcPr/>
          <w:p w14:paraId="0000001D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tl w:val="0"/>
              </w:rPr>
            </w:r>
          </w:p>
          <w:p w14:paraId="0000001E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144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tl w:val="0"/>
              </w:rPr>
            </w:r>
          </w:p>
          <w:p w14:paraId="0000001F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0" w:line="240" w:lineRule="auto"/>
              <w:ind w:right="236" w:hanging="1" w:left="249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 xml:space="preserve">Certificado de participação no programa de extensão com carga horária</w:t>
            </w:r>
          </w:p>
        </w:tc>
      </w:tr>
      <w:tr>
        <w:trPr>
          <w:cantSplit w:val="false"/>
          <w:trHeight w:val="1667"/>
          <w:tblHeader w:val="false"/>
        </w:trPr>
        <w:tc>
          <w:tcPr/>
          <w:p w14:paraId="00000020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tl w:val="0"/>
              </w:rPr>
            </w:r>
          </w:p>
          <w:p w14:paraId="00000021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144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tl w:val="0"/>
              </w:rPr>
            </w:r>
          </w:p>
          <w:p w14:paraId="00000022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0" w:line="240" w:lineRule="auto"/>
              <w:ind w:right="0" w:hanging="216" w:left="546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 xml:space="preserve">2 – Projeto de extensão</w:t>
            </w:r>
          </w:p>
        </w:tc>
        <w:tc>
          <w:tcPr/>
          <w:p w14:paraId="00000023">
            <w:pPr>
              <w:jc w:val="center"/>
              <w:rPr/>
            </w:pPr>
            <w:r>
              <w:rPr>
                <w:rtl w:val="0"/>
              </w:rPr>
              <w:t xml:space="preserve">Conjunto de ações processuais, de caráter educativo, artístico, social, cultural, assistencial, tecnológico, político ou de suporte institucional externo, com objetivo específico e prazo determinado de até cinco anos, renovável;</w:t>
            </w:r>
          </w:p>
        </w:tc>
        <w:tc>
          <w:tcPr/>
          <w:p w14:paraId="00000024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tl w:val="0"/>
              </w:rPr>
            </w:r>
          </w:p>
          <w:p w14:paraId="00000025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29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tl w:val="0"/>
              </w:rPr>
            </w:r>
          </w:p>
          <w:p w14:paraId="00000026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0" w:line="240" w:lineRule="auto"/>
              <w:ind w:right="359" w:hanging="2" w:left="374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 xml:space="preserve">Certificado de participação no projeto de extensão com carga horária</w:t>
            </w:r>
          </w:p>
        </w:tc>
      </w:tr>
      <w:tr>
        <w:trPr>
          <w:cantSplit w:val="false"/>
          <w:trHeight w:val="1209"/>
          <w:tblHeader w:val="false"/>
        </w:trPr>
        <w:tc>
          <w:tcPr/>
          <w:p w14:paraId="00000027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143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tl w:val="0"/>
              </w:rPr>
            </w:r>
          </w:p>
          <w:p w14:paraId="00000028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1" w:line="240" w:lineRule="auto"/>
              <w:ind w:right="0" w:hanging="166" w:left="546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 xml:space="preserve">3 – Curso de extensão</w:t>
            </w:r>
          </w:p>
        </w:tc>
        <w:tc>
          <w:tcPr/>
          <w:p w14:paraId="00000029">
            <w:pPr>
              <w:jc w:val="center"/>
              <w:rPr/>
            </w:pPr>
            <w:r>
              <w:rPr>
                <w:rtl w:val="0"/>
              </w:rPr>
              <w:t xml:space="preserve">Ação de caráter pedagógico teórico e/ou prático, presencial ou a distância, planejado e organizado de modo sistemático, com carga horária mínima de oito horas e critérios de avaliação e certificação cujo público seja a comunidade externa à UFSM</w:t>
            </w:r>
          </w:p>
        </w:tc>
        <w:tc>
          <w:tcPr/>
          <w:p w14:paraId="0000002A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28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tl w:val="0"/>
              </w:rPr>
            </w:r>
          </w:p>
          <w:p w14:paraId="0000002B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0" w:line="240" w:lineRule="auto"/>
              <w:ind w:right="218" w:firstLine="0" w:left="235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 xml:space="preserve">Certificado de participação como organizador do curso de extensão com carga horária</w:t>
            </w:r>
          </w:p>
        </w:tc>
      </w:tr>
      <w:tr>
        <w:trPr>
          <w:cantSplit w:val="false"/>
          <w:trHeight w:val="1667"/>
          <w:tblHeader w:val="false"/>
        </w:trPr>
        <w:tc>
          <w:tcPr/>
          <w:p w14:paraId="0000002C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tl w:val="0"/>
              </w:rPr>
            </w:r>
          </w:p>
          <w:p w14:paraId="0000002D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142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tl w:val="0"/>
              </w:rPr>
            </w:r>
          </w:p>
          <w:p w14:paraId="0000002E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0" w:line="240" w:lineRule="auto"/>
              <w:ind w:right="0" w:hanging="209" w:left="546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 xml:space="preserve">4 – Evento de extensão</w:t>
            </w:r>
          </w:p>
        </w:tc>
        <w:tc>
          <w:tcPr/>
          <w:p w14:paraId="0000002F">
            <w:pPr>
              <w:jc w:val="center"/>
              <w:rPr/>
            </w:pPr>
            <w:r>
              <w:rPr>
                <w:rtl w:val="0"/>
              </w:rPr>
              <w:t xml:space="preserve">Ação que contempla a apresentação e/ou exibição pública do conhecimento ou produto cultural, artístico, esportivo, científico/acadêmico ou tecnológico desenvolvido ou reconhecido pela Comissão de Extensão ou equivalente, cujo público seja a comunidade externa à UFSM</w:t>
            </w:r>
          </w:p>
        </w:tc>
        <w:tc>
          <w:tcPr/>
          <w:p w14:paraId="00000030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tl w:val="0"/>
              </w:rPr>
            </w:r>
          </w:p>
          <w:p w14:paraId="00000031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27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tl w:val="0"/>
              </w:rPr>
            </w:r>
          </w:p>
          <w:p w14:paraId="00000032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0" w:line="240" w:lineRule="auto"/>
              <w:ind w:right="163" w:firstLine="1" w:left="177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 xml:space="preserve">Certificado de participação como organizador do evento de extensão com carga horária</w:t>
            </w:r>
          </w:p>
        </w:tc>
      </w:tr>
      <w:tr>
        <w:trPr>
          <w:cantSplit w:val="false"/>
          <w:trHeight w:val="2126"/>
          <w:tblHeader w:val="false"/>
        </w:trPr>
        <w:tc>
          <w:tcPr/>
          <w:p w14:paraId="00000033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tl w:val="0"/>
              </w:rPr>
            </w:r>
          </w:p>
          <w:p w14:paraId="00000034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tl w:val="0"/>
              </w:rPr>
            </w:r>
          </w:p>
          <w:p w14:paraId="00000035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142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tl w:val="0"/>
              </w:rPr>
            </w:r>
          </w:p>
          <w:p w14:paraId="00000036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0" w:line="240" w:lineRule="auto"/>
              <w:ind w:right="0" w:hanging="437" w:left="635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 xml:space="preserve">5 – Prestação de serviço</w:t>
            </w:r>
          </w:p>
        </w:tc>
        <w:tc>
          <w:tcPr/>
          <w:p w14:paraId="00000037">
            <w:pPr>
              <w:jc w:val="center"/>
              <w:rPr/>
            </w:pPr>
            <w:r>
              <w:rPr>
                <w:rtl w:val="0"/>
              </w:rPr>
              <w:t xml:space="preserve">Corresponde ao serviço técnico especializado, oferecido pela universidade à comunidade externa caracterizado por sua finalidade pública e social, observada no perfil da demandante e na finalidade dos serviços, em conformidade com a função social da universidade pública, com a missão da UFSM, em atendimento à lei e devidamente registrada como ação de extensão</w:t>
            </w:r>
          </w:p>
        </w:tc>
        <w:tc>
          <w:tcPr/>
          <w:p w14:paraId="00000038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tl w:val="0"/>
              </w:rPr>
            </w:r>
          </w:p>
          <w:p w14:paraId="00000039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tl w:val="0"/>
              </w:rPr>
            </w:r>
          </w:p>
          <w:p w14:paraId="0000003A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27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tl w:val="0"/>
              </w:rPr>
            </w:r>
          </w:p>
          <w:p w14:paraId="0000003B">
            <w:pPr>
              <w:keepNext w:val="false"/>
              <w:keepLines w:val="false"/>
              <w:pageBreakBefore w:val="false"/>
              <w:widowControl w:val="false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after="0" w:before="0" w:line="240" w:lineRule="auto"/>
              <w:ind w:right="315" w:firstLine="0" w:left="328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 xml:space="preserve">Certificado de participação na prestação de serviço com carga horária</w:t>
            </w:r>
          </w:p>
        </w:tc>
      </w:tr>
    </w:tbl>
    <w:p w14:paraId="0000003C">
      <w:pPr>
        <w:keepNext w:val="false"/>
        <w:keepLines w:val="false"/>
        <w:pageBreakBefore w:val="false"/>
        <w:widowControl w:val="false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240" w:lineRule="auto"/>
        <w:ind w:right="0" w:firstLine="0" w:left="0"/>
        <w:jc w:val="left"/>
        <w:rPr>
          <w:sz w:val="20"/>
          <w:szCs w:val="20"/>
        </w:rPr>
      </w:pPr>
      <w:r>
        <w:rPr>
          <w:rtl w:val="0"/>
        </w:rPr>
      </w:r>
    </w:p>
    <w:p w14:paraId="0000003D">
      <w:pPr>
        <w:keepNext w:val="false"/>
        <w:keepLines w:val="false"/>
        <w:pageBreakBefore w:val="false"/>
        <w:widowControl w:val="false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right="137" w:firstLine="707" w:left="143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O aluno oriundo de outra Instituição de Ensino Superior (IES) para os Cursos de Direito Diurno e Noturno da UFSM, poderá requerer o cômputo das horas de ACEx realizadas durante o período em que esteve cursando a graduação em Direito na IES de origem desde que atenda à comprovação com a documentação exigida nos mesmos moldes da documentação fornecida pela UFSM, ou seja, certificado gerado pelo sistema da instituição de origem.</w:t>
      </w:r>
    </w:p>
    <w:p w14:paraId="0000003E">
      <w:pPr>
        <w:keepNext w:val="false"/>
        <w:keepLines w:val="false"/>
        <w:pageBreakBefore w:val="false"/>
        <w:widowControl w:val="false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121" w:line="360" w:lineRule="auto"/>
        <w:ind w:right="135" w:firstLine="707" w:left="143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O aluno oriundo de outros cursos de graduação, poderá requerer o cômputo das horas de ACEx realizadas somente durante o período em que esteve cursando regularmente os Cursos de Direito Diurno e Noturno, ou seja, serão consideradas exclusivamente as atividades realizadas a partir da data de matrícula nos Cursos de Direito Diurno e Noturno.</w:t>
      </w:r>
    </w:p>
    <w:p w14:paraId="0000003F">
      <w:pPr>
        <w:keepNext w:val="false"/>
        <w:keepLines w:val="false"/>
        <w:pageBreakBefore w:val="false"/>
        <w:widowControl w:val="false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121" w:line="360" w:lineRule="auto"/>
        <w:ind w:right="135" w:firstLine="707" w:left="143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bookmarkStart w:colFirst="0" w:colLast="0" w:id="0" w:name="_heading=h.r32pssnbmpgs"/>
      <w:bookmarkEnd w:id="0"/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Para o cômputo das horas de ACEx o aluno estando regularmente matriculado nos Cursos de Direito Diurno e Noturno, poderá computar horas referentes à ações de extensão realizadas em quaisquer cursos da UFSM, preferencialmente os lotados no CCSH/UFSM. </w:t>
      </w:r>
    </w:p>
    <w:p w14:paraId="00000040">
      <w:pPr>
        <w:keepNext w:val="false"/>
        <w:keepLines w:val="false"/>
        <w:pageBreakBefore w:val="false"/>
        <w:widowControl w:val="false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240" w:lineRule="auto"/>
        <w:ind w:right="0" w:firstLine="0" w:left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tl w:val="0"/>
        </w:rPr>
      </w:r>
    </w:p>
    <w:p w14:paraId="00000041">
      <w:pPr>
        <w:keepNext w:val="false"/>
        <w:keepLines w:val="false"/>
        <w:pageBreakBefore w:val="false"/>
        <w:widowControl w:val="false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115" w:line="240" w:lineRule="auto"/>
        <w:ind w:right="0" w:firstLine="0" w:left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tl w:val="0"/>
        </w:rPr>
      </w:r>
    </w:p>
    <w:p w14:paraId="00000042">
      <w:pPr>
        <w:pStyle w:val="Heading1"/>
        <w:ind w:firstLine="143"/>
        <w:rPr/>
      </w:pPr>
      <w:r>
        <w:rPr>
          <w:rtl w:val="0"/>
        </w:rPr>
        <w:t xml:space="preserve">DO PEDIDO DO CÔMPUTO DA CARGA HORÁRIA DE ACEx REALIZADA</w:t>
      </w:r>
    </w:p>
    <w:p w14:paraId="00000043">
      <w:pPr>
        <w:keepNext w:val="false"/>
        <w:keepLines w:val="false"/>
        <w:pageBreakBefore w:val="false"/>
        <w:widowControl w:val="false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246" w:line="360" w:lineRule="auto"/>
        <w:ind w:right="135" w:firstLine="707" w:left="143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Os pedidos de registro do cômputo das horas de ACEx deverão ser requeridos via portal acadêmico do aluno regularmente matriculado no 9º e 10º semestres dos Cursos de Direito Diurno e Noturno respeitado o prazo previsto no calendário de solicitações publicado semestralmente na página do Curso de Direito.</w:t>
      </w:r>
    </w:p>
    <w:p w14:paraId="00000044">
      <w:pPr>
        <w:keepNext w:val="false"/>
        <w:keepLines w:val="false"/>
        <w:pageBreakBefore w:val="false"/>
        <w:widowControl w:val="false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119" w:line="360" w:lineRule="auto"/>
        <w:ind w:right="136" w:firstLine="707" w:left="143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Os casos omissos e não previstos neste regulamento serão dirimidos pelo Colegiado dos Cursos de Direito Diurno e Noturno.</w:t>
      </w:r>
    </w:p>
    <w:sectPr>
      <w:type w:val="nextPage"/>
      <w:pgSz w:h="16840" w:orient="portrait" w:w="11910"/>
      <w:pgMar w:top="2140" w:right="1559" w:bottom="280" w:left="1559" w:header="692" w:foo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0000045">
    <w:pPr>
      <w:rPr/>
    </w:pPr>
    <w:r>
      <w:rPr>
        <w:rtl w:val="0"/>
      </w:rPr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0" behindDoc="0" locked="0" layoutInCell="1" allowOverlap="1">
              <wp:simplePos x="0" y="0"/>
              <wp:positionH relativeFrom="column">
                <wp:posOffset>-252270</wp:posOffset>
              </wp:positionH>
              <wp:positionV relativeFrom="paragraph">
                <wp:posOffset>-2335</wp:posOffset>
              </wp:positionV>
              <wp:extent cx="1722996" cy="675768"/>
              <wp:effectExtent l="0" t="0" r="0" b="0"/>
              <wp:wrapNone/>
              <wp:docPr id="1" name="image1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jpg"/>
                      <pic:cNvPicPr preferRelativeResize="0"/>
                      <pic:nvPr/>
                    </pic:nvPicPr>
                    <pic:blipFill>
                      <a:blip r:embed="rId1"/>
                      <a:srcRect l="0" t="0" r="0" b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22996" cy="675768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0;o:allowoverlap:true;o:allowincell:true;mso-position-horizontal-relative:text;margin-left:-19.86pt;mso-position-horizontal:absolute;mso-position-vertical-relative:text;margin-top:-0.18pt;mso-position-vertical:absolute;width:135.67pt;height:53.21pt;mso-wrap-distance-left:0.00pt;mso-wrap-distance-top:0.00pt;mso-wrap-distance-right:0.00pt;mso-wrap-distance-bottom:0.00pt;z-index:1;">
              <v:imagedata r:id="rId1" o:title="" croptop="0f" cropleft="0f" cropbottom="0f" cropright="0f"/>
              <o:lock v:ext="edit" rotation="t"/>
            </v:shape>
          </w:pict>
        </mc:Fallback>
      </mc:AlternateContent>
    </w:r>
  </w:p>
  <w:p w14:paraId="00000046">
    <w:pPr>
      <w:keepNext w:val="false"/>
      <w:keepLines w:val="false"/>
      <w:pageBreakBefore w:val="false"/>
      <w:widowControl w:val="false"/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shd w:val="clear" w:fill="auto"/>
      <w:spacing w:after="0" w:before="0" w:line="14" w:lineRule="auto"/>
      <w:ind w:right="0" w:firstLine="0" w:left="0"/>
      <w:jc w:val="left"/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</w:pPr>
    <w: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0" behindDoc="1" locked="0" layoutInCell="1" allowOverlap="1">
              <wp:simplePos x="0" y="0"/>
              <wp:positionH relativeFrom="page">
                <wp:posOffset>1088440</wp:posOffset>
              </wp:positionH>
              <wp:positionV relativeFrom="page">
                <wp:posOffset>1361102</wp:posOffset>
              </wp:positionV>
              <wp:extent cx="5383530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2" name="Shape 2"/>
                    <wps:cNvSpPr/>
                    <wps:spPr>
                      <a:xfrm>
                        <a:off x="2654235" y="3779365"/>
                        <a:ext cx="53835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83530" h="120000" extrusionOk="0">
                            <a:moveTo>
                              <a:pt x="0" y="0"/>
                            </a:moveTo>
                            <a:lnTo>
                              <a:pt x="5383134" y="0"/>
                            </a:lnTo>
                          </a:path>
                        </a:pathLst>
                      </a:cu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style="position:absolute;z-index:0;o:allowoverlap:true;o:allowincell:true;mso-position-horizontal-relative:page;margin-left:85.70pt;mso-position-horizontal:absolute;mso-position-vertical-relative:page;margin-top:107.17pt;mso-position-vertical:absolute;width:423.90pt;height:1.00pt;mso-wrap-distance-left:0.00pt;mso-wrap-distance-top:0.00pt;mso-wrap-distance-right:0.00pt;mso-wrap-distance-bottom:0.00pt;visibility:visible;" path="m0,0l99991,0e" coordsize="100000,100000" filled="f" strokecolor="#000000" strokeweight="0.75pt">
              <v:path textboxrect="0,0,100000,100000"/>
              <v:stroke dashstyle="solid"/>
            </v:shape>
          </w:pict>
        </mc:Fallback>
      </mc:AlternateContent>
    </w:r>
    <w: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0" behindDoc="1" locked="0" layoutInCell="1" allowOverlap="1">
              <wp:simplePos x="0" y="0"/>
              <wp:positionH relativeFrom="page">
                <wp:posOffset>3898328</wp:posOffset>
              </wp:positionH>
              <wp:positionV relativeFrom="page">
                <wp:posOffset>435694</wp:posOffset>
              </wp:positionV>
              <wp:extent cx="2602230" cy="686081"/>
              <wp:effectExtent l="0" t="0" r="0" b="0"/>
              <wp:wrapNone/>
              <wp:docPr id="3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3" name="Shape 3"/>
                    <wps:cNvSpPr/>
                    <wps:spPr>
                      <a:xfrm>
                        <a:off x="4049648" y="3441722"/>
                        <a:ext cx="2592704" cy="67655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after="0" w:before="0" w:line="240" w:lineRule="auto"/>
                            <w:ind w:right="0" w:firstLine="0" w:left="0"/>
                            <w:jc w:val="center"/>
                          </w:pPr>
                          <w:r>
                            <w:rPr>
                              <w:rFonts w:ascii="Arial" w:hAnsi="Arial" w:eastAsia="Arial" w:cs="Arial"/>
                              <w:b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UNIVERSIDADE FEDERAL DE SANTA MARIA CENTRO DE CIÊNCIAS SOCIAIS E HUMANAS CURSO DE DIREITO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1" type="#_x0000_t1" style="position:absolute;z-index:0;o:allowoverlap:true;o:allowincell:true;mso-position-horizontal-relative:page;margin-left:306.95pt;mso-position-horizontal:absolute;mso-position-vertical-relative:page;margin-top:34.31pt;mso-position-vertical:absolute;width:204.90pt;height:54.02pt;mso-wrap-distance-left:0.00pt;mso-wrap-distance-top:0.00pt;mso-wrap-distance-right:0.00pt;mso-wrap-distance-bottom:0.00pt;v-text-anchor:top;visibility:visible;" filled="f" stroked="f">
              <v:textbox inset="0,0,0,0">
                <w:txbxContent>
                  <w:p>
                    <w:pPr>
                      <w:spacing w:after="0" w:before="0" w:line="240" w:lineRule="auto"/>
                      <w:ind w:right="0" w:firstLine="0" w:left="0"/>
                      <w:jc w:val="center"/>
                    </w:pPr>
                    <w:r>
                      <w:rPr>
                        <w:rFonts w:ascii="Arial" w:hAnsi="Arial" w:eastAsia="Arial" w:cs="Arial"/>
                        <w:b/>
                        <w:i w:val="0"/>
                        <w:smallCaps w:val="0"/>
                        <w:strike w:val="0"/>
                        <w:color w:val="000000"/>
                        <w:sz w:val="22"/>
                        <w:vertAlign w:val="baseline"/>
                      </w:rPr>
                      <w:t xml:space="preserve">UNIVERSIDADE FEDERAL DE SANTA MARIA CENTRO DE CIÊNCIAS SOCIAIS E HUMANAS CURSO DE DIREITO</w:t>
                    </w:r>
                  </w:p>
                </w:txbxContent>
              </v:textbox>
            </v:shape>
          </w:pict>
        </mc:Fallback>
      </mc:AlternateContent>
    </w:r>
    <w:r>
      <w:rPr>
        <w:rtl w:val="0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="Arial" w:cs="Arial"/>
        <w:sz w:val="22"/>
        <w:szCs w:val="22"/>
        <w:lang w:val="pt_PT"/>
      </w:rPr>
    </w:rPrDefault>
    <w:pPrDefault>
      <w:pPr>
        <w:widowControl w:val="fals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TableNormal" w:default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43"/>
    </w:pPr>
    <w:rPr>
      <w:rFonts w:ascii="Arial" w:hAnsi="Arial" w:eastAsia="Arial" w:cs="Arial"/>
      <w:b/>
      <w:bCs/>
    </w:rPr>
  </w:style>
  <w:style w:type="paragraph" w:styleId="Heading2">
    <w:name w:val="heading 2"/>
    <w:basedOn w:val="Normal"/>
    <w:next w:val="Normal"/>
    <w:pPr>
      <w:keepNext w:val="true"/>
      <w:keepLines w:val="true"/>
      <w:spacing w:after="80" w:before="160"/>
    </w:pPr>
    <w:rPr>
      <w:rFonts w:ascii="Arial" w:hAnsi="Arial" w:eastAsia="Arial" w:cs="Arial"/>
      <w:color w:val="366091"/>
      <w:sz w:val="32"/>
      <w:szCs w:val="32"/>
    </w:rPr>
  </w:style>
  <w:style w:type="paragraph" w:styleId="Heading3">
    <w:name w:val="heading 3"/>
    <w:basedOn w:val="Normal"/>
    <w:next w:val="Normal"/>
    <w:pPr>
      <w:keepNext w:val="true"/>
      <w:keepLines w:val="true"/>
      <w:spacing w:after="80" w:before="160"/>
    </w:pPr>
    <w:rPr>
      <w:rFonts w:ascii="Arial" w:hAnsi="Arial" w:eastAsia="Arial" w:cs="Arial"/>
      <w:color w:val="366091"/>
      <w:sz w:val="28"/>
      <w:szCs w:val="28"/>
    </w:rPr>
  </w:style>
  <w:style w:type="paragraph" w:styleId="Heading4">
    <w:name w:val="heading 4"/>
    <w:basedOn w:val="Normal"/>
    <w:next w:val="Normal"/>
    <w:pPr>
      <w:keepNext w:val="true"/>
      <w:keepLines w:val="true"/>
      <w:spacing w:after="40" w:before="80"/>
    </w:pPr>
    <w:rPr>
      <w:rFonts w:ascii="Arial" w:hAnsi="Arial" w:eastAsia="Arial" w:cs="Arial"/>
      <w:i/>
      <w:iCs/>
      <w:color w:val="366091"/>
    </w:rPr>
  </w:style>
  <w:style w:type="paragraph" w:styleId="Heading5">
    <w:name w:val="heading 5"/>
    <w:basedOn w:val="Normal"/>
    <w:next w:val="Normal"/>
    <w:pPr>
      <w:keepNext w:val="true"/>
      <w:keepLines w:val="true"/>
      <w:spacing w:after="40" w:before="80"/>
    </w:pPr>
    <w:rPr>
      <w:rFonts w:ascii="Arial" w:hAnsi="Arial" w:eastAsia="Arial" w:cs="Arial"/>
      <w:color w:val="366091"/>
    </w:rPr>
  </w:style>
  <w:style w:type="paragraph" w:styleId="Heading6">
    <w:name w:val="heading 6"/>
    <w:basedOn w:val="Normal"/>
    <w:next w:val="Normal"/>
    <w:pPr>
      <w:keepNext w:val="true"/>
      <w:keepLines w:val="true"/>
      <w:spacing w:before="40"/>
    </w:pPr>
    <w:rPr>
      <w:rFonts w:ascii="Arial" w:hAnsi="Arial" w:eastAsia="Arial" w:cs="Arial"/>
      <w:i/>
      <w:iCs/>
      <w:color w:val="595959"/>
    </w:rPr>
  </w:style>
  <w:style w:type="paragraph" w:styleId="Title">
    <w:name w:val="Title"/>
    <w:basedOn w:val="Normal"/>
    <w:next w:val="Normal"/>
    <w:pPr>
      <w:ind w:right="136" w:left="138"/>
      <w:jc w:val="center"/>
    </w:pPr>
    <w:rPr>
      <w:rFonts w:ascii="Arial" w:hAnsi="Arial" w:eastAsia="Arial" w:cs="Arial"/>
      <w:b/>
      <w:bCs/>
      <w:sz w:val="28"/>
      <w:szCs w:val="28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name w:val="StGen0"/>
    <w:basedOn w:val="TableNormal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customXml" Target="../customXml/item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DAv3csYvzna/m7Z2L4/OX6hQtw==">CgMxLjAyDmgucjMycHNzbmJtcGdzOAByITFJQThaMU42SGJQekMteFJjc3BHYlZwWUVPd1JDNVBETw==</go:docsCustomData>
</go:gDocsCustomXmlDataStorage>
</file>

<file path=customXml/itemProps1.xml><?xml version="1.0" encoding="utf-8"?>
<ds:datastoreItem xmlns:ds="http://schemas.openxmlformats.org/officeDocument/2006/customXml" ds:itemID="11111111-1234-1234-1234-123412341234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2023-07-13T00:00:00Z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2025-06-25T00:00:00Z</vt:lpwstr>
  </property>
  <property fmtid="{D5CDD505-2E9C-101B-9397-08002B2CF9AE}" pid="5" name="Producer">
    <vt:lpwstr>Microsoft® Word para Microsoft 365</vt:lpwstr>
  </property>
</Properties>
</file>