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43A7" w14:textId="77777777" w:rsidR="00DC7FC6" w:rsidRDefault="006E58E6" w:rsidP="00E6029E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F30B0B">
        <w:rPr>
          <w:rFonts w:ascii="Cambria" w:hAnsi="Cambria"/>
          <w:b/>
          <w:bCs/>
          <w:sz w:val="28"/>
          <w:szCs w:val="28"/>
        </w:rPr>
        <w:t>ANEXO</w:t>
      </w:r>
      <w:r w:rsidR="00CE5E2E" w:rsidRPr="00F30B0B">
        <w:rPr>
          <w:rFonts w:ascii="Cambria" w:hAnsi="Cambria"/>
          <w:b/>
          <w:bCs/>
          <w:sz w:val="28"/>
          <w:szCs w:val="28"/>
        </w:rPr>
        <w:t xml:space="preserve"> 1</w:t>
      </w:r>
    </w:p>
    <w:p w14:paraId="76BDE030" w14:textId="604929A3" w:rsidR="006E58E6" w:rsidRPr="00F30B0B" w:rsidRDefault="006E58E6" w:rsidP="00E6029E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F30B0B">
        <w:rPr>
          <w:rFonts w:ascii="Cambria" w:hAnsi="Cambria"/>
          <w:b/>
          <w:bCs/>
          <w:sz w:val="28"/>
          <w:szCs w:val="28"/>
        </w:rPr>
        <w:t>Tabela de pontuação do currículo</w:t>
      </w:r>
    </w:p>
    <w:p w14:paraId="6D4E7AC9" w14:textId="77777777" w:rsidR="006E58E6" w:rsidRDefault="006E58E6" w:rsidP="006E58E6">
      <w:pPr>
        <w:spacing w:line="276" w:lineRule="auto"/>
        <w:rPr>
          <w:rFonts w:ascii="Cambria" w:hAnsi="Cambria"/>
        </w:rPr>
      </w:pPr>
    </w:p>
    <w:p w14:paraId="7A1AC57F" w14:textId="77777777" w:rsidR="00DC7FC6" w:rsidRPr="00F30B0B" w:rsidRDefault="00DC7FC6" w:rsidP="006E58E6">
      <w:pPr>
        <w:spacing w:line="276" w:lineRule="auto"/>
        <w:rPr>
          <w:rFonts w:ascii="Cambria" w:hAnsi="Cambria"/>
        </w:rPr>
      </w:pPr>
    </w:p>
    <w:p w14:paraId="76C959D7" w14:textId="61BED2B9" w:rsidR="006E58E6" w:rsidRDefault="006E58E6" w:rsidP="006E58E6">
      <w:pPr>
        <w:spacing w:line="276" w:lineRule="auto"/>
        <w:rPr>
          <w:rFonts w:ascii="Cambria" w:hAnsi="Cambria"/>
        </w:rPr>
      </w:pPr>
      <w:r w:rsidRPr="00F30B0B">
        <w:rPr>
          <w:rFonts w:ascii="Cambria" w:hAnsi="Cambria"/>
        </w:rPr>
        <w:t>Nome completo d</w:t>
      </w:r>
      <w:r w:rsidR="00294C27" w:rsidRPr="00F30B0B">
        <w:rPr>
          <w:rFonts w:ascii="Cambria" w:hAnsi="Cambria"/>
        </w:rPr>
        <w:t>o</w:t>
      </w:r>
      <w:r w:rsidRPr="00F30B0B">
        <w:rPr>
          <w:rFonts w:ascii="Cambria" w:hAnsi="Cambria"/>
        </w:rPr>
        <w:t xml:space="preserve"> candidato à bolsa: </w:t>
      </w:r>
    </w:p>
    <w:p w14:paraId="54205340" w14:textId="77777777" w:rsidR="00DC7FC6" w:rsidRPr="00F30B0B" w:rsidRDefault="00DC7FC6" w:rsidP="006E58E6">
      <w:pPr>
        <w:spacing w:line="276" w:lineRule="auto"/>
        <w:rPr>
          <w:rFonts w:ascii="Cambria" w:hAnsi="Cambria"/>
        </w:rPr>
      </w:pPr>
    </w:p>
    <w:p w14:paraId="258891CE" w14:textId="77777777" w:rsidR="006E58E6" w:rsidRPr="00F30B0B" w:rsidRDefault="006E58E6" w:rsidP="006E58E6">
      <w:pPr>
        <w:spacing w:line="276" w:lineRule="auto"/>
        <w:rPr>
          <w:rFonts w:ascii="Cambria" w:hAnsi="Cambria"/>
        </w:rPr>
      </w:pPr>
    </w:p>
    <w:tbl>
      <w:tblPr>
        <w:tblStyle w:val="Tabelacomgrade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3549"/>
        <w:gridCol w:w="1276"/>
      </w:tblGrid>
      <w:tr w:rsidR="006E58E6" w:rsidRPr="00F30B0B" w14:paraId="0009568B" w14:textId="77777777" w:rsidTr="00336D5C">
        <w:trPr>
          <w:trHeight w:val="651"/>
          <w:jc w:val="center"/>
        </w:trPr>
        <w:tc>
          <w:tcPr>
            <w:tcW w:w="5382" w:type="dxa"/>
            <w:vAlign w:val="center"/>
          </w:tcPr>
          <w:p w14:paraId="034E59B1" w14:textId="77777777" w:rsidR="006E58E6" w:rsidRPr="00F30B0B" w:rsidRDefault="006E58E6" w:rsidP="007D0B69">
            <w:pPr>
              <w:spacing w:before="80" w:line="276" w:lineRule="auto"/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F30B0B">
              <w:rPr>
                <w:rFonts w:ascii="Cambria" w:hAnsi="Cambria"/>
                <w:b/>
                <w:bCs/>
                <w:sz w:val="22"/>
                <w:szCs w:val="20"/>
              </w:rPr>
              <w:t>PRODUÇÃO E ATIVIDADES ACADÊMICAS</w:t>
            </w:r>
          </w:p>
        </w:tc>
        <w:tc>
          <w:tcPr>
            <w:tcW w:w="3549" w:type="dxa"/>
            <w:vAlign w:val="center"/>
          </w:tcPr>
          <w:p w14:paraId="6FD38436" w14:textId="77777777" w:rsidR="006E58E6" w:rsidRPr="00F30B0B" w:rsidRDefault="006E58E6" w:rsidP="007D0B69">
            <w:pPr>
              <w:spacing w:before="80" w:line="276" w:lineRule="auto"/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F30B0B">
              <w:rPr>
                <w:rFonts w:ascii="Cambria" w:hAnsi="Cambria"/>
                <w:b/>
                <w:bCs/>
                <w:sz w:val="22"/>
                <w:szCs w:val="20"/>
              </w:rPr>
              <w:t>CRITÉRIOS</w:t>
            </w:r>
          </w:p>
        </w:tc>
        <w:tc>
          <w:tcPr>
            <w:tcW w:w="1276" w:type="dxa"/>
            <w:vAlign w:val="center"/>
          </w:tcPr>
          <w:p w14:paraId="2083EC34" w14:textId="77777777" w:rsidR="006E58E6" w:rsidRPr="00F30B0B" w:rsidRDefault="006E58E6" w:rsidP="007D0B69">
            <w:pPr>
              <w:spacing w:before="80"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30B0B">
              <w:rPr>
                <w:rFonts w:ascii="Cambria" w:hAnsi="Cambria"/>
                <w:b/>
                <w:bCs/>
                <w:sz w:val="18"/>
                <w:szCs w:val="18"/>
              </w:rPr>
              <w:t>PONTUAÇÃO</w:t>
            </w:r>
          </w:p>
        </w:tc>
      </w:tr>
      <w:tr w:rsidR="006E58E6" w:rsidRPr="00F30B0B" w14:paraId="6760EF1C" w14:textId="77777777" w:rsidTr="00336D5C">
        <w:trPr>
          <w:trHeight w:val="884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0149C933" w14:textId="416F6FD1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Atuação profissional como docente no ensino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afim, com vínculo trabalhista. (Pontuação máxima: 0,5)</w:t>
            </w: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06B84D93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0,25 ponto a cada 6 meses de trabalho.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784A954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0682DB30" w14:textId="77777777" w:rsidTr="00336D5C">
        <w:trPr>
          <w:trHeight w:val="1083"/>
          <w:jc w:val="center"/>
        </w:trPr>
        <w:tc>
          <w:tcPr>
            <w:tcW w:w="5382" w:type="dxa"/>
            <w:vAlign w:val="center"/>
          </w:tcPr>
          <w:p w14:paraId="0CC1F14C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Participação como bolsista em projeto de pesquisa com registro institucional. (Pontuação máxima: 0,5)</w:t>
            </w:r>
          </w:p>
        </w:tc>
        <w:tc>
          <w:tcPr>
            <w:tcW w:w="3549" w:type="dxa"/>
            <w:vAlign w:val="center"/>
          </w:tcPr>
          <w:p w14:paraId="090BCA8E" w14:textId="3263C2F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0,5 ponto por participação como bolsista, condicionado a uma participação mínima de 6 meses.</w:t>
            </w:r>
          </w:p>
        </w:tc>
        <w:tc>
          <w:tcPr>
            <w:tcW w:w="1276" w:type="dxa"/>
            <w:vAlign w:val="center"/>
          </w:tcPr>
          <w:p w14:paraId="24666023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4E7B2BE9" w14:textId="77777777" w:rsidTr="00336D5C">
        <w:trPr>
          <w:trHeight w:val="1691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651F63F4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Participação em projeto de ensino com registro institucional;</w:t>
            </w:r>
          </w:p>
          <w:p w14:paraId="004A653B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Participação em projeto de pesquisa com registro institucional;</w:t>
            </w:r>
          </w:p>
          <w:p w14:paraId="411A36E4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Participação em projeto de extensão com registro institucional.</w:t>
            </w:r>
          </w:p>
          <w:p w14:paraId="25B893FC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(Pontuação máxima: 0,75)</w:t>
            </w: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3511F387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0,25 ponto por projeto, com bolsa, condicionado a uma participação mínima de 6 meses.</w:t>
            </w:r>
          </w:p>
          <w:p w14:paraId="0CB858BD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0,125 ponto por projeto, sem bolsa, condicionado a uma participação mínima de 6 meses.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310435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4BDA69EB" w14:textId="77777777" w:rsidTr="00336D5C">
        <w:trPr>
          <w:trHeight w:val="1340"/>
          <w:jc w:val="center"/>
        </w:trPr>
        <w:tc>
          <w:tcPr>
            <w:tcW w:w="5382" w:type="dxa"/>
            <w:vAlign w:val="center"/>
          </w:tcPr>
          <w:p w14:paraId="66506E7F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Publicação de artigo em periódico científico qualificado pelo Qualis (2017-2020). (Pontuação máxima: 1,5)</w:t>
            </w:r>
          </w:p>
        </w:tc>
        <w:tc>
          <w:tcPr>
            <w:tcW w:w="3549" w:type="dxa"/>
            <w:vAlign w:val="center"/>
          </w:tcPr>
          <w:p w14:paraId="36ABEAB5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0,6 ponto por artigo Qualis A1, A2, A3 e A4;</w:t>
            </w:r>
          </w:p>
          <w:p w14:paraId="7C580328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0,5 ponto por artigo Qualis B1, B2 e B3;</w:t>
            </w:r>
          </w:p>
          <w:p w14:paraId="577E1AD4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0,25 ponto por artigo Qualis B4, B5 e C.</w:t>
            </w:r>
          </w:p>
        </w:tc>
        <w:tc>
          <w:tcPr>
            <w:tcW w:w="1276" w:type="dxa"/>
            <w:vAlign w:val="center"/>
          </w:tcPr>
          <w:p w14:paraId="1BD81641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3D613504" w14:textId="77777777" w:rsidTr="00336D5C">
        <w:trPr>
          <w:trHeight w:val="920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151E3FF4" w14:textId="7C00D9CA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Publicação de livro autoral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afim, à exceção de edição do autor, e à exceção de folhetos. (Pontuação máxima: 1,0)</w:t>
            </w: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4488367A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1,0 ponto por livro.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89EC10F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2F7B20C9" w14:textId="77777777" w:rsidTr="00336D5C">
        <w:trPr>
          <w:trHeight w:val="3784"/>
          <w:jc w:val="center"/>
        </w:trPr>
        <w:tc>
          <w:tcPr>
            <w:tcW w:w="5382" w:type="dxa"/>
            <w:vAlign w:val="center"/>
          </w:tcPr>
          <w:p w14:paraId="553BA8C1" w14:textId="48C1AB3F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Organização de livro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afim;</w:t>
            </w:r>
          </w:p>
          <w:p w14:paraId="4804BAE3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6CC5C6D5" w14:textId="006B8D6B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Organização de anais de evento,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afim, que seja objeto de Número Internacional Normalizado para Livro (ISBN) ou que seja objeto de Número Internacional Normalizado para Publicações Seriadas (ISSN)</w:t>
            </w:r>
            <w:r w:rsidR="002B6834" w:rsidRPr="00F30B0B">
              <w:rPr>
                <w:rFonts w:ascii="Cambria" w:hAnsi="Cambria"/>
                <w:sz w:val="20"/>
                <w:szCs w:val="20"/>
              </w:rPr>
              <w:t>. Para cada evento, somente será considerado 1 (um) anais de evento;</w:t>
            </w:r>
          </w:p>
          <w:p w14:paraId="402965DA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7A69C798" w14:textId="204A8FF4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Organização de caderno de resumos de evento,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afim, que seja objeto de Número Internacional Normalizado para Livro (ISBN) ou que seja objeto de Número Internacional Normalizado para Publicações Seriadas (ISSN).</w:t>
            </w:r>
            <w:r w:rsidR="002B6834" w:rsidRPr="00F30B0B">
              <w:rPr>
                <w:rFonts w:ascii="Cambria" w:hAnsi="Cambria"/>
                <w:sz w:val="20"/>
                <w:szCs w:val="20"/>
              </w:rPr>
              <w:t xml:space="preserve"> Para cada evento, somente será considerado 1 (um) caderno de resumos.</w:t>
            </w:r>
          </w:p>
          <w:p w14:paraId="06C5D030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471B19EA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(Pontuação máxima: 1,0)</w:t>
            </w:r>
          </w:p>
        </w:tc>
        <w:tc>
          <w:tcPr>
            <w:tcW w:w="3549" w:type="dxa"/>
            <w:vAlign w:val="center"/>
          </w:tcPr>
          <w:p w14:paraId="75BDFE0C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0,5 ponto por livro;</w:t>
            </w:r>
          </w:p>
          <w:p w14:paraId="7127C66B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14C7FC9C" w14:textId="732C0EB0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0,25 por anais de evento</w:t>
            </w:r>
            <w:r w:rsidR="002123A9" w:rsidRPr="00F30B0B">
              <w:rPr>
                <w:rFonts w:ascii="Cambria" w:hAnsi="Cambria"/>
                <w:sz w:val="20"/>
                <w:szCs w:val="20"/>
              </w:rPr>
              <w:t>;</w:t>
            </w:r>
          </w:p>
          <w:p w14:paraId="320CF4A7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5732B607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0,15 por caderno de resumos de evento.</w:t>
            </w:r>
          </w:p>
        </w:tc>
        <w:tc>
          <w:tcPr>
            <w:tcW w:w="1276" w:type="dxa"/>
            <w:vAlign w:val="center"/>
          </w:tcPr>
          <w:p w14:paraId="4F7DFDB6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67644811" w14:textId="77777777" w:rsidTr="00336D5C">
        <w:trPr>
          <w:trHeight w:val="756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664DFF77" w14:textId="2CA98CD6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Publicação de capítulo de livro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afim. (Pontuação máxima: 1,0)</w:t>
            </w: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594E70DD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0,5 ponto por capítulo.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14CB90F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1CD22B7D" w14:textId="77777777" w:rsidTr="00336D5C">
        <w:trPr>
          <w:trHeight w:val="1012"/>
          <w:jc w:val="center"/>
        </w:trPr>
        <w:tc>
          <w:tcPr>
            <w:tcW w:w="5382" w:type="dxa"/>
            <w:vAlign w:val="center"/>
          </w:tcPr>
          <w:p w14:paraId="0D2DA94B" w14:textId="336CB22C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lastRenderedPageBreak/>
              <w:t xml:space="preserve">Publicação de trabalhos completos em anais de evento científico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afim. (Pontuação máxima: 0,5)</w:t>
            </w:r>
          </w:p>
        </w:tc>
        <w:tc>
          <w:tcPr>
            <w:tcW w:w="3549" w:type="dxa"/>
            <w:vAlign w:val="center"/>
          </w:tcPr>
          <w:p w14:paraId="2BC4520D" w14:textId="13BBC624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0,25 ponto por trabalho</w:t>
            </w:r>
            <w:r w:rsidR="008A745A" w:rsidRPr="00F30B0B">
              <w:rPr>
                <w:rFonts w:ascii="Cambria" w:hAnsi="Cambria"/>
                <w:sz w:val="20"/>
                <w:szCs w:val="20"/>
              </w:rPr>
              <w:t>, desde que contenha 6 (seis) ou mais páginas</w:t>
            </w:r>
            <w:r w:rsidRPr="00F30B0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8C9238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26FF3EE4" w14:textId="77777777" w:rsidTr="00336D5C">
        <w:trPr>
          <w:trHeight w:val="896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45DB1647" w14:textId="42C6F3AF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Publicação de resumo em evento científico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afim. (Pontuação máxima: 0,5)</w:t>
            </w: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098510A6" w14:textId="77777777" w:rsidR="00136A2D" w:rsidRPr="00F30B0B" w:rsidRDefault="00136A2D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 ponto por resumo simples (uma página);</w:t>
            </w:r>
          </w:p>
          <w:p w14:paraId="723E5EDB" w14:textId="50DC6594" w:rsidR="006E58E6" w:rsidRPr="00F30B0B" w:rsidRDefault="00136A2D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0,15 ponto por resumo expandido (de duas a seis páginas).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DC9EFBE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26D7205F" w14:textId="77777777" w:rsidTr="00336D5C">
        <w:trPr>
          <w:trHeight w:val="756"/>
          <w:jc w:val="center"/>
        </w:trPr>
        <w:tc>
          <w:tcPr>
            <w:tcW w:w="5382" w:type="dxa"/>
            <w:vAlign w:val="center"/>
          </w:tcPr>
          <w:p w14:paraId="291C75C4" w14:textId="6393D0F8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Apresentação de trabalho em evento científico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afim. (Pontuação máxima: 1,0)</w:t>
            </w:r>
          </w:p>
        </w:tc>
        <w:tc>
          <w:tcPr>
            <w:tcW w:w="3549" w:type="dxa"/>
            <w:vAlign w:val="center"/>
          </w:tcPr>
          <w:p w14:paraId="43DE97E0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 ponto por apresentação.</w:t>
            </w:r>
          </w:p>
        </w:tc>
        <w:tc>
          <w:tcPr>
            <w:tcW w:w="1276" w:type="dxa"/>
            <w:vAlign w:val="center"/>
          </w:tcPr>
          <w:p w14:paraId="4D7544A4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727CDCE2" w14:textId="77777777" w:rsidTr="00336D5C">
        <w:trPr>
          <w:trHeight w:val="1070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2601995B" w14:textId="6A8E30EC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Participação como ouvinte em evento científico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afim, com carga horária mínima de 20 horas por evento. (Pontuação máxima: 0,5)</w:t>
            </w: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2664FE6B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0,05 ponto por participação.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B8117DB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3DD4FF44" w14:textId="77777777" w:rsidTr="00336D5C">
        <w:trPr>
          <w:trHeight w:val="774"/>
          <w:jc w:val="center"/>
        </w:trPr>
        <w:tc>
          <w:tcPr>
            <w:tcW w:w="5382" w:type="dxa"/>
            <w:shd w:val="clear" w:color="auto" w:fill="FFFFFF" w:themeFill="background1"/>
            <w:vAlign w:val="center"/>
          </w:tcPr>
          <w:p w14:paraId="3B32D060" w14:textId="4C0205F0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Monitoria em disciplina de graduação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afim. (</w:t>
            </w:r>
            <w:r w:rsidR="002123A9" w:rsidRPr="00F30B0B">
              <w:rPr>
                <w:rFonts w:ascii="Cambria" w:hAnsi="Cambria"/>
                <w:sz w:val="20"/>
                <w:szCs w:val="20"/>
              </w:rPr>
              <w:t>P</w:t>
            </w:r>
            <w:r w:rsidRPr="00F30B0B">
              <w:rPr>
                <w:rFonts w:ascii="Cambria" w:hAnsi="Cambria"/>
                <w:sz w:val="20"/>
                <w:szCs w:val="20"/>
              </w:rPr>
              <w:t>ontuação máxima: 0,25)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2A8A7B43" w14:textId="302778B9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0,25 por monitoria.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A77F8D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0030852F" w14:textId="77777777" w:rsidTr="00336D5C">
        <w:trPr>
          <w:trHeight w:val="1409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2F51B2A3" w14:textId="22D7240B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Organização de evento científico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afim. (</w:t>
            </w:r>
            <w:r w:rsidR="002123A9" w:rsidRPr="00F30B0B">
              <w:rPr>
                <w:rFonts w:ascii="Cambria" w:hAnsi="Cambria"/>
                <w:sz w:val="20"/>
                <w:szCs w:val="20"/>
              </w:rPr>
              <w:t>P</w:t>
            </w:r>
            <w:r w:rsidRPr="00F30B0B">
              <w:rPr>
                <w:rFonts w:ascii="Cambria" w:hAnsi="Cambria"/>
                <w:sz w:val="20"/>
                <w:szCs w:val="20"/>
              </w:rPr>
              <w:t>ontuação máxima: 0,5)</w:t>
            </w: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6C3EF65F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0,125 por evento organizado, desde que a carga horária mínima de atividade de organização seja de 20 horas.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67E8E93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00</w:t>
            </w:r>
          </w:p>
        </w:tc>
      </w:tr>
      <w:tr w:rsidR="006E58E6" w:rsidRPr="00F30B0B" w14:paraId="7290BE98" w14:textId="77777777" w:rsidTr="00336D5C">
        <w:trPr>
          <w:trHeight w:val="3811"/>
          <w:jc w:val="center"/>
        </w:trPr>
        <w:tc>
          <w:tcPr>
            <w:tcW w:w="5382" w:type="dxa"/>
            <w:shd w:val="clear" w:color="auto" w:fill="FFFFFF" w:themeFill="background1"/>
            <w:vAlign w:val="center"/>
          </w:tcPr>
          <w:p w14:paraId="6071FF24" w14:textId="5DFEA2B4" w:rsidR="006E58E6" w:rsidRPr="00F30B0B" w:rsidRDefault="008D4E05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Ações voltadas à popularização da ciência que esteja vinculado a um projeto de ensino, pesquisa ou extensão</w:t>
            </w:r>
            <w:r w:rsidR="006E58E6" w:rsidRPr="00F30B0B">
              <w:rPr>
                <w:rFonts w:ascii="Cambria" w:hAnsi="Cambria"/>
                <w:sz w:val="20"/>
                <w:szCs w:val="20"/>
              </w:rPr>
              <w:t>;</w:t>
            </w:r>
          </w:p>
          <w:p w14:paraId="32762559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1055E239" w14:textId="267208CF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Minicurso ou oficina ministrada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afim;</w:t>
            </w:r>
          </w:p>
          <w:p w14:paraId="48861545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49D453E9" w14:textId="5163C084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Palestra ou conferência proferida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afim;</w:t>
            </w:r>
          </w:p>
          <w:p w14:paraId="7E413A6A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71A3FC1D" w14:textId="1A64F5C4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Participação em mesa-redonda em evento científico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afim;</w:t>
            </w:r>
          </w:p>
          <w:p w14:paraId="4CA54297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3B0BE902" w14:textId="45F8C39B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 xml:space="preserve">Monitoria em evento científico na área de </w:t>
            </w:r>
            <w:r w:rsidR="002B3593" w:rsidRPr="00F30B0B">
              <w:rPr>
                <w:rFonts w:ascii="Cambria" w:hAnsi="Cambria"/>
                <w:sz w:val="20"/>
                <w:szCs w:val="20"/>
              </w:rPr>
              <w:t>história</w:t>
            </w:r>
            <w:r w:rsidRPr="00F30B0B">
              <w:rPr>
                <w:rFonts w:ascii="Cambria" w:hAnsi="Cambria"/>
                <w:sz w:val="20"/>
                <w:szCs w:val="20"/>
              </w:rPr>
              <w:t xml:space="preserve"> ou em área afim;</w:t>
            </w:r>
          </w:p>
          <w:p w14:paraId="273A5281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61BB4209" w14:textId="328E7651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(Pontuação máxima: 0,5)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67E136D9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 por ação voltada a popularização da ciência;</w:t>
            </w:r>
          </w:p>
          <w:p w14:paraId="42A8499A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46020C08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 por minicurso ou oficina ministrada;</w:t>
            </w:r>
          </w:p>
          <w:p w14:paraId="576C5AB1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579469A5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 por palestra ou conferência proferida;</w:t>
            </w:r>
          </w:p>
          <w:p w14:paraId="19138187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73A5B781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 por Participação em mesa-redonda.</w:t>
            </w:r>
          </w:p>
          <w:p w14:paraId="329BD516" w14:textId="77777777" w:rsidR="002123A9" w:rsidRPr="00F30B0B" w:rsidRDefault="002123A9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  <w:p w14:paraId="377DC487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30B0B">
              <w:rPr>
                <w:rFonts w:ascii="Cambria" w:hAnsi="Cambria"/>
                <w:sz w:val="20"/>
                <w:szCs w:val="20"/>
              </w:rPr>
              <w:t>0,1 por monitoria em evento com no mínimo 15h de atividade de monitoria.</w:t>
            </w:r>
          </w:p>
          <w:p w14:paraId="6EE941D6" w14:textId="77777777" w:rsidR="006E58E6" w:rsidRPr="00F30B0B" w:rsidRDefault="006E58E6" w:rsidP="007D0B69">
            <w:pPr>
              <w:spacing w:line="276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8FA3EF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</w:rPr>
            </w:pPr>
            <w:r w:rsidRPr="00F30B0B">
              <w:rPr>
                <w:rFonts w:ascii="Cambria" w:hAnsi="Cambria"/>
              </w:rPr>
              <w:t>0,0</w:t>
            </w:r>
          </w:p>
        </w:tc>
      </w:tr>
      <w:tr w:rsidR="006E58E6" w:rsidRPr="00F30B0B" w14:paraId="0A680795" w14:textId="77777777" w:rsidTr="00336D5C">
        <w:trPr>
          <w:trHeight w:val="496"/>
          <w:jc w:val="center"/>
        </w:trPr>
        <w:tc>
          <w:tcPr>
            <w:tcW w:w="5382" w:type="dxa"/>
            <w:shd w:val="clear" w:color="auto" w:fill="BFBFBF" w:themeFill="background1" w:themeFillShade="BF"/>
          </w:tcPr>
          <w:p w14:paraId="35ECC4F5" w14:textId="77777777" w:rsidR="006E58E6" w:rsidRPr="00F30B0B" w:rsidRDefault="006E58E6" w:rsidP="006E58E6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32EF94C5" w14:textId="5D21C724" w:rsidR="006E58E6" w:rsidRPr="00F30B0B" w:rsidRDefault="006E58E6" w:rsidP="007D0B69">
            <w:pPr>
              <w:spacing w:before="120" w:line="276" w:lineRule="auto"/>
              <w:jc w:val="right"/>
              <w:rPr>
                <w:rFonts w:ascii="Cambria" w:hAnsi="Cambria"/>
                <w:b/>
                <w:bCs/>
              </w:rPr>
            </w:pPr>
            <w:r w:rsidRPr="00F30B0B">
              <w:rPr>
                <w:rFonts w:ascii="Cambria" w:hAnsi="Cambria"/>
                <w:b/>
                <w:bCs/>
              </w:rPr>
              <w:t>SOMATÓRIO TOTAL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C2B0B94" w14:textId="77777777" w:rsidR="006E58E6" w:rsidRPr="00F30B0B" w:rsidRDefault="006E58E6" w:rsidP="007D0B69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F30B0B">
              <w:rPr>
                <w:rFonts w:ascii="Cambria" w:hAnsi="Cambria"/>
                <w:b/>
                <w:bCs/>
              </w:rPr>
              <w:t>0,0</w:t>
            </w:r>
          </w:p>
        </w:tc>
      </w:tr>
    </w:tbl>
    <w:p w14:paraId="1B070134" w14:textId="77777777" w:rsidR="007D0B69" w:rsidRPr="00F30B0B" w:rsidRDefault="007D0B69" w:rsidP="009A3FA3">
      <w:pPr>
        <w:spacing w:before="120" w:line="276" w:lineRule="auto"/>
        <w:rPr>
          <w:rFonts w:ascii="Cambria" w:hAnsi="Cambria"/>
        </w:rPr>
      </w:pPr>
    </w:p>
    <w:p w14:paraId="5C9A8C26" w14:textId="76C5EEFF" w:rsidR="006E58E6" w:rsidRPr="00F30B0B" w:rsidRDefault="006E58E6" w:rsidP="009A3FA3">
      <w:pPr>
        <w:spacing w:before="120" w:line="276" w:lineRule="auto"/>
        <w:rPr>
          <w:rFonts w:ascii="Cambria" w:hAnsi="Cambria"/>
        </w:rPr>
      </w:pPr>
      <w:r w:rsidRPr="00F30B0B">
        <w:rPr>
          <w:rFonts w:ascii="Cambria" w:hAnsi="Cambria"/>
        </w:rPr>
        <w:t xml:space="preserve">Declaro que as comprovações atinentes às publicações correspondem a materiais que foram efetivamente publicados, e que não submeti à análise quaisquer materiais que não tenham sido publicados ou que, </w:t>
      </w:r>
      <w:r w:rsidR="007D0B69" w:rsidRPr="00F30B0B">
        <w:rPr>
          <w:rFonts w:ascii="Cambria" w:hAnsi="Cambria"/>
        </w:rPr>
        <w:t>porventura</w:t>
      </w:r>
      <w:r w:rsidRPr="00F30B0B">
        <w:rPr>
          <w:rFonts w:ascii="Cambria" w:hAnsi="Cambria"/>
        </w:rPr>
        <w:t>, ainda se encontrem no prelo.</w:t>
      </w:r>
    </w:p>
    <w:p w14:paraId="4CFA6E98" w14:textId="77777777" w:rsidR="008F052A" w:rsidRPr="00F30B0B" w:rsidRDefault="008F052A" w:rsidP="006E58E6">
      <w:pPr>
        <w:spacing w:line="276" w:lineRule="auto"/>
        <w:rPr>
          <w:rFonts w:ascii="Cambria" w:hAnsi="Cambria"/>
        </w:rPr>
      </w:pPr>
    </w:p>
    <w:p w14:paraId="458BD714" w14:textId="77777777" w:rsidR="007F62E1" w:rsidRPr="00F30B0B" w:rsidRDefault="007F62E1" w:rsidP="006E58E6">
      <w:pPr>
        <w:spacing w:line="276" w:lineRule="auto"/>
        <w:rPr>
          <w:rFonts w:ascii="Cambria" w:hAnsi="Cambria"/>
        </w:rPr>
      </w:pPr>
    </w:p>
    <w:p w14:paraId="0C055C2E" w14:textId="77777777" w:rsidR="007F62E1" w:rsidRPr="00F30B0B" w:rsidRDefault="007F62E1" w:rsidP="006E58E6">
      <w:pPr>
        <w:spacing w:line="276" w:lineRule="auto"/>
        <w:rPr>
          <w:rFonts w:ascii="Cambria" w:hAnsi="Cambria"/>
        </w:rPr>
      </w:pPr>
    </w:p>
    <w:p w14:paraId="5CF7D365" w14:textId="77777777" w:rsidR="007D0B69" w:rsidRPr="00F30B0B" w:rsidRDefault="007D0B69" w:rsidP="006E58E6">
      <w:pPr>
        <w:spacing w:line="276" w:lineRule="auto"/>
        <w:rPr>
          <w:rFonts w:ascii="Cambria" w:hAnsi="Cambria"/>
        </w:rPr>
      </w:pPr>
    </w:p>
    <w:p w14:paraId="7EECC01E" w14:textId="678A511A" w:rsidR="007D0B69" w:rsidRPr="00F30B0B" w:rsidRDefault="007F62E1" w:rsidP="007F62E1">
      <w:pPr>
        <w:spacing w:line="276" w:lineRule="auto"/>
        <w:jc w:val="center"/>
        <w:rPr>
          <w:rFonts w:ascii="Cambria" w:hAnsi="Cambria"/>
        </w:rPr>
      </w:pPr>
      <w:r w:rsidRPr="00F30B0B">
        <w:rPr>
          <w:rFonts w:ascii="Cambria" w:hAnsi="Cambria"/>
        </w:rPr>
        <w:t>____________________________________</w:t>
      </w:r>
    </w:p>
    <w:p w14:paraId="2EC20AF3" w14:textId="1E60C6EE" w:rsidR="00E72683" w:rsidRPr="00F30B0B" w:rsidRDefault="006E58E6" w:rsidP="007F62E1">
      <w:pPr>
        <w:spacing w:line="276" w:lineRule="auto"/>
        <w:jc w:val="center"/>
        <w:rPr>
          <w:rFonts w:ascii="Cambria" w:hAnsi="Cambria"/>
        </w:rPr>
      </w:pPr>
      <w:r w:rsidRPr="00F30B0B">
        <w:rPr>
          <w:rFonts w:ascii="Cambria" w:hAnsi="Cambria"/>
        </w:rPr>
        <w:t>Assinatura do candidato</w:t>
      </w:r>
    </w:p>
    <w:sectPr w:rsidR="00E72683" w:rsidRPr="00F30B0B">
      <w:pgSz w:w="11910" w:h="16840"/>
      <w:pgMar w:top="1240" w:right="1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51C"/>
    <w:multiLevelType w:val="hybridMultilevel"/>
    <w:tmpl w:val="D8B2A83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0647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E6"/>
    <w:rsid w:val="000143DA"/>
    <w:rsid w:val="0005234B"/>
    <w:rsid w:val="0006407F"/>
    <w:rsid w:val="000A24A4"/>
    <w:rsid w:val="00111410"/>
    <w:rsid w:val="00122806"/>
    <w:rsid w:val="00136A2D"/>
    <w:rsid w:val="00141451"/>
    <w:rsid w:val="001B75A5"/>
    <w:rsid w:val="001C3BA3"/>
    <w:rsid w:val="001D5ADA"/>
    <w:rsid w:val="001E57C4"/>
    <w:rsid w:val="0020632D"/>
    <w:rsid w:val="002123A9"/>
    <w:rsid w:val="00257AE9"/>
    <w:rsid w:val="002723B0"/>
    <w:rsid w:val="002822CB"/>
    <w:rsid w:val="00294C27"/>
    <w:rsid w:val="0029664A"/>
    <w:rsid w:val="002A6CCC"/>
    <w:rsid w:val="002B3593"/>
    <w:rsid w:val="002B6834"/>
    <w:rsid w:val="002F0B57"/>
    <w:rsid w:val="002F2606"/>
    <w:rsid w:val="00336D5C"/>
    <w:rsid w:val="00370DC0"/>
    <w:rsid w:val="00380560"/>
    <w:rsid w:val="0039522F"/>
    <w:rsid w:val="003A7D19"/>
    <w:rsid w:val="003C501E"/>
    <w:rsid w:val="003F173C"/>
    <w:rsid w:val="00400434"/>
    <w:rsid w:val="004063A1"/>
    <w:rsid w:val="0046618E"/>
    <w:rsid w:val="004C4510"/>
    <w:rsid w:val="004C51D8"/>
    <w:rsid w:val="0050097F"/>
    <w:rsid w:val="005170E5"/>
    <w:rsid w:val="005B0E4B"/>
    <w:rsid w:val="005B6474"/>
    <w:rsid w:val="00621F2C"/>
    <w:rsid w:val="00645158"/>
    <w:rsid w:val="0066521E"/>
    <w:rsid w:val="006906DE"/>
    <w:rsid w:val="00690F49"/>
    <w:rsid w:val="006E35D5"/>
    <w:rsid w:val="006E58E6"/>
    <w:rsid w:val="006E5D61"/>
    <w:rsid w:val="00742C2D"/>
    <w:rsid w:val="00752786"/>
    <w:rsid w:val="00754C53"/>
    <w:rsid w:val="00793955"/>
    <w:rsid w:val="007A4211"/>
    <w:rsid w:val="007B70E2"/>
    <w:rsid w:val="007D0B69"/>
    <w:rsid w:val="007D16A4"/>
    <w:rsid w:val="007D19AE"/>
    <w:rsid w:val="007F350F"/>
    <w:rsid w:val="007F62E1"/>
    <w:rsid w:val="00807A65"/>
    <w:rsid w:val="008A745A"/>
    <w:rsid w:val="008A7704"/>
    <w:rsid w:val="008D4E05"/>
    <w:rsid w:val="008F052A"/>
    <w:rsid w:val="008F73D4"/>
    <w:rsid w:val="0091781B"/>
    <w:rsid w:val="009335E6"/>
    <w:rsid w:val="00934908"/>
    <w:rsid w:val="00994C85"/>
    <w:rsid w:val="009A3FA3"/>
    <w:rsid w:val="009B32A8"/>
    <w:rsid w:val="00A30833"/>
    <w:rsid w:val="00A45330"/>
    <w:rsid w:val="00A856E9"/>
    <w:rsid w:val="00AB6923"/>
    <w:rsid w:val="00AC1CBD"/>
    <w:rsid w:val="00AC6E67"/>
    <w:rsid w:val="00B0394F"/>
    <w:rsid w:val="00B11460"/>
    <w:rsid w:val="00B34239"/>
    <w:rsid w:val="00B46BA8"/>
    <w:rsid w:val="00B75782"/>
    <w:rsid w:val="00BB74D5"/>
    <w:rsid w:val="00BC2822"/>
    <w:rsid w:val="00BE1513"/>
    <w:rsid w:val="00C02AAF"/>
    <w:rsid w:val="00C70902"/>
    <w:rsid w:val="00C825AE"/>
    <w:rsid w:val="00C8290E"/>
    <w:rsid w:val="00C872A8"/>
    <w:rsid w:val="00C96834"/>
    <w:rsid w:val="00CE5E2E"/>
    <w:rsid w:val="00CF2CA0"/>
    <w:rsid w:val="00CF30AD"/>
    <w:rsid w:val="00D15703"/>
    <w:rsid w:val="00D43108"/>
    <w:rsid w:val="00D472F1"/>
    <w:rsid w:val="00D75C9B"/>
    <w:rsid w:val="00DC0575"/>
    <w:rsid w:val="00DC7FC6"/>
    <w:rsid w:val="00DD245F"/>
    <w:rsid w:val="00E02C46"/>
    <w:rsid w:val="00E04E8A"/>
    <w:rsid w:val="00E6029E"/>
    <w:rsid w:val="00E638A5"/>
    <w:rsid w:val="00E72683"/>
    <w:rsid w:val="00E853D6"/>
    <w:rsid w:val="00EA559D"/>
    <w:rsid w:val="00F11693"/>
    <w:rsid w:val="00F30B0B"/>
    <w:rsid w:val="00F5608E"/>
    <w:rsid w:val="00F63283"/>
    <w:rsid w:val="00F660A2"/>
    <w:rsid w:val="00F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1F6F"/>
  <w15:chartTrackingRefBased/>
  <w15:docId w15:val="{8E61B46E-279A-41DD-972E-B8CCAD6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0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35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27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278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C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Prates Bordinhão</dc:creator>
  <cp:keywords/>
  <dc:description/>
  <cp:lastModifiedBy>Guilherme Felippe</cp:lastModifiedBy>
  <cp:revision>70</cp:revision>
  <dcterms:created xsi:type="dcterms:W3CDTF">2025-03-04T12:18:00Z</dcterms:created>
  <dcterms:modified xsi:type="dcterms:W3CDTF">2026-03-03T15:58:00Z</dcterms:modified>
</cp:coreProperties>
</file>