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F9" w:rsidRDefault="008C37AF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PLANO DE ENSINO</w:t>
      </w:r>
    </w:p>
    <w:tbl>
      <w:tblPr>
        <w:tblStyle w:val="a"/>
        <w:tblW w:w="9854" w:type="dxa"/>
        <w:tblLayout w:type="fixed"/>
        <w:tblLook w:val="0000" w:firstRow="0" w:lastRow="0" w:firstColumn="0" w:lastColumn="0" w:noHBand="0" w:noVBand="0"/>
      </w:tblPr>
      <w:tblGrid>
        <w:gridCol w:w="1379"/>
        <w:gridCol w:w="437"/>
        <w:gridCol w:w="832"/>
        <w:gridCol w:w="2722"/>
        <w:gridCol w:w="1813"/>
        <w:gridCol w:w="725"/>
        <w:gridCol w:w="907"/>
        <w:gridCol w:w="1039"/>
      </w:tblGrid>
      <w:tr w:rsidR="00C227F9">
        <w:tc>
          <w:tcPr>
            <w:tcW w:w="1816" w:type="dxa"/>
            <w:gridSpan w:val="2"/>
            <w:shd w:val="clear" w:color="auto" w:fill="auto"/>
          </w:tcPr>
          <w:p w:rsidR="00C227F9" w:rsidRDefault="008C37AF">
            <w:r>
              <w:t xml:space="preserve">Departamento: </w:t>
            </w:r>
          </w:p>
        </w:tc>
        <w:tc>
          <w:tcPr>
            <w:tcW w:w="8038" w:type="dxa"/>
            <w:gridSpan w:val="6"/>
            <w:shd w:val="clear" w:color="auto" w:fill="auto"/>
          </w:tcPr>
          <w:p w:rsidR="00C227F9" w:rsidRDefault="008C37AF">
            <w:pPr>
              <w:rPr>
                <w:b w:val="0"/>
              </w:rPr>
            </w:pPr>
            <w:r>
              <w:rPr>
                <w:b w:val="0"/>
              </w:rPr>
              <w:t>Filosofia</w:t>
            </w:r>
          </w:p>
        </w:tc>
      </w:tr>
      <w:tr w:rsidR="00C227F9">
        <w:tc>
          <w:tcPr>
            <w:tcW w:w="1379" w:type="dxa"/>
            <w:shd w:val="clear" w:color="auto" w:fill="auto"/>
          </w:tcPr>
          <w:p w:rsidR="00C227F9" w:rsidRDefault="008C37AF">
            <w:r>
              <w:t xml:space="preserve">Disciplina: 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C227F9" w:rsidRDefault="008C37AF" w:rsidP="0093111B">
            <w:pPr>
              <w:rPr>
                <w:b w:val="0"/>
              </w:rPr>
            </w:pPr>
            <w:r>
              <w:rPr>
                <w:b w:val="0"/>
              </w:rPr>
              <w:t xml:space="preserve">FAF </w:t>
            </w:r>
            <w:r w:rsidR="0093111B">
              <w:rPr>
                <w:b w:val="0"/>
              </w:rPr>
              <w:t>937</w:t>
            </w:r>
            <w:r w:rsidR="00F67A14">
              <w:rPr>
                <w:b w:val="0"/>
              </w:rPr>
              <w:t xml:space="preserve"> </w:t>
            </w:r>
            <w:r w:rsidR="00C21148">
              <w:rPr>
                <w:b w:val="0"/>
              </w:rPr>
              <w:t>Tópicos de Lógica I</w:t>
            </w:r>
            <w:r w:rsidR="0093111B">
              <w:rPr>
                <w:b w:val="0"/>
              </w:rPr>
              <w:t>II</w:t>
            </w:r>
          </w:p>
        </w:tc>
      </w:tr>
      <w:tr w:rsidR="00C227F9">
        <w:tc>
          <w:tcPr>
            <w:tcW w:w="1379" w:type="dxa"/>
            <w:shd w:val="clear" w:color="auto" w:fill="auto"/>
          </w:tcPr>
          <w:p w:rsidR="00C227F9" w:rsidRDefault="008C37AF">
            <w:r>
              <w:t xml:space="preserve">Semestre: </w:t>
            </w:r>
          </w:p>
        </w:tc>
        <w:tc>
          <w:tcPr>
            <w:tcW w:w="3991" w:type="dxa"/>
            <w:gridSpan w:val="3"/>
            <w:shd w:val="clear" w:color="auto" w:fill="auto"/>
          </w:tcPr>
          <w:p w:rsidR="00C227F9" w:rsidRDefault="008C37AF">
            <w:pPr>
              <w:rPr>
                <w:b w:val="0"/>
              </w:rPr>
            </w:pPr>
            <w:r>
              <w:rPr>
                <w:b w:val="0"/>
              </w:rPr>
              <w:t>I</w:t>
            </w:r>
            <w:r w:rsidR="00C21148">
              <w:rPr>
                <w:b w:val="0"/>
              </w:rPr>
              <w:t>I</w:t>
            </w:r>
            <w:r w:rsidR="0093111B">
              <w:rPr>
                <w:b w:val="0"/>
              </w:rPr>
              <w:t xml:space="preserve"> 2025</w:t>
            </w:r>
          </w:p>
        </w:tc>
        <w:tc>
          <w:tcPr>
            <w:tcW w:w="1813" w:type="dxa"/>
            <w:shd w:val="clear" w:color="auto" w:fill="auto"/>
          </w:tcPr>
          <w:p w:rsidR="00C227F9" w:rsidRDefault="008C37AF">
            <w:r>
              <w:t>Carga Horária:</w:t>
            </w:r>
          </w:p>
        </w:tc>
        <w:tc>
          <w:tcPr>
            <w:tcW w:w="725" w:type="dxa"/>
            <w:shd w:val="clear" w:color="auto" w:fill="auto"/>
          </w:tcPr>
          <w:p w:rsidR="00C227F9" w:rsidRDefault="008C37AF">
            <w:pPr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907" w:type="dxa"/>
            <w:shd w:val="clear" w:color="auto" w:fill="auto"/>
          </w:tcPr>
          <w:p w:rsidR="00C227F9" w:rsidRDefault="00C227F9">
            <w:pPr>
              <w:rPr>
                <w:b w:val="0"/>
              </w:rPr>
            </w:pPr>
          </w:p>
        </w:tc>
        <w:tc>
          <w:tcPr>
            <w:tcW w:w="1039" w:type="dxa"/>
            <w:shd w:val="clear" w:color="auto" w:fill="auto"/>
          </w:tcPr>
          <w:p w:rsidR="00C227F9" w:rsidRDefault="00C227F9">
            <w:pPr>
              <w:rPr>
                <w:b w:val="0"/>
              </w:rPr>
            </w:pPr>
          </w:p>
        </w:tc>
      </w:tr>
      <w:tr w:rsidR="00C227F9">
        <w:tc>
          <w:tcPr>
            <w:tcW w:w="2648" w:type="dxa"/>
            <w:gridSpan w:val="3"/>
            <w:shd w:val="clear" w:color="auto" w:fill="auto"/>
          </w:tcPr>
          <w:p w:rsidR="00C227F9" w:rsidRDefault="008C37AF">
            <w:pPr>
              <w:rPr>
                <w:b w:val="0"/>
              </w:rPr>
            </w:pPr>
            <w:r>
              <w:t>Docente responsável:</w:t>
            </w:r>
          </w:p>
        </w:tc>
        <w:tc>
          <w:tcPr>
            <w:tcW w:w="7206" w:type="dxa"/>
            <w:gridSpan w:val="5"/>
            <w:shd w:val="clear" w:color="auto" w:fill="auto"/>
          </w:tcPr>
          <w:p w:rsidR="00C227F9" w:rsidRDefault="008C37AF">
            <w:pPr>
              <w:rPr>
                <w:b w:val="0"/>
              </w:rPr>
            </w:pPr>
            <w:r>
              <w:rPr>
                <w:b w:val="0"/>
              </w:rPr>
              <w:t>Frank Thomas Sautter</w:t>
            </w:r>
          </w:p>
        </w:tc>
      </w:tr>
    </w:tbl>
    <w:p w:rsidR="00C227F9" w:rsidRDefault="00C22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Arial" w:cs="Arial"/>
          <w:szCs w:val="22"/>
        </w:rPr>
      </w:pPr>
    </w:p>
    <w:tbl>
      <w:tblPr>
        <w:tblStyle w:val="a0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227F9">
        <w:tc>
          <w:tcPr>
            <w:tcW w:w="9854" w:type="dxa"/>
            <w:tcBorders>
              <w:bottom w:val="single" w:sz="4" w:space="0" w:color="000000"/>
            </w:tcBorders>
            <w:shd w:val="clear" w:color="auto" w:fill="E6E6E6"/>
          </w:tcPr>
          <w:p w:rsidR="00C227F9" w:rsidRDefault="008C37AF">
            <w:r>
              <w:t>Objetivos</w:t>
            </w:r>
          </w:p>
        </w:tc>
      </w:tr>
      <w:tr w:rsidR="00C227F9">
        <w:tc>
          <w:tcPr>
            <w:tcW w:w="9854" w:type="dxa"/>
            <w:shd w:val="clear" w:color="auto" w:fill="FFFFFF"/>
          </w:tcPr>
          <w:p w:rsidR="00C227F9" w:rsidRDefault="008A45E5" w:rsidP="00CE58A4">
            <w:pPr>
              <w:shd w:val="clear" w:color="auto" w:fill="FFFFFF"/>
              <w:jc w:val="both"/>
              <w:rPr>
                <w:b w:val="0"/>
              </w:rPr>
            </w:pPr>
            <w:r>
              <w:rPr>
                <w:b w:val="0"/>
              </w:rPr>
              <w:t>A disciplina visa apresentar e di</w:t>
            </w:r>
            <w:r w:rsidR="00294609">
              <w:rPr>
                <w:b w:val="0"/>
              </w:rPr>
              <w:t>s</w:t>
            </w:r>
            <w:r>
              <w:rPr>
                <w:b w:val="0"/>
              </w:rPr>
              <w:t xml:space="preserve">cutir </w:t>
            </w:r>
            <w:r w:rsidR="0093111B">
              <w:rPr>
                <w:b w:val="0"/>
              </w:rPr>
              <w:t>questões relativas à argumentação, em especial uma ferramenta de anotação de argumentação.</w:t>
            </w:r>
          </w:p>
        </w:tc>
      </w:tr>
    </w:tbl>
    <w:p w:rsidR="00C227F9" w:rsidRDefault="00C227F9">
      <w:pPr>
        <w:shd w:val="clear" w:color="auto" w:fill="FFFFFF"/>
        <w:rPr>
          <w:b w:val="0"/>
        </w:rPr>
      </w:pPr>
    </w:p>
    <w:tbl>
      <w:tblPr>
        <w:tblStyle w:val="a1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227F9">
        <w:tc>
          <w:tcPr>
            <w:tcW w:w="9854" w:type="dxa"/>
            <w:shd w:val="clear" w:color="auto" w:fill="E6E6E6"/>
          </w:tcPr>
          <w:p w:rsidR="00C227F9" w:rsidRDefault="008C37AF">
            <w:r>
              <w:t>Conteúdo programático</w:t>
            </w:r>
          </w:p>
        </w:tc>
      </w:tr>
      <w:tr w:rsidR="00C227F9" w:rsidRPr="00025734">
        <w:tc>
          <w:tcPr>
            <w:tcW w:w="9854" w:type="dxa"/>
            <w:shd w:val="clear" w:color="auto" w:fill="auto"/>
          </w:tcPr>
          <w:p w:rsidR="008A45E5" w:rsidRDefault="0093111B" w:rsidP="00CE58A4">
            <w:pPr>
              <w:rPr>
                <w:b w:val="0"/>
                <w:szCs w:val="22"/>
              </w:rPr>
            </w:pPr>
            <w:r w:rsidRPr="0093111B">
              <w:rPr>
                <w:b w:val="0"/>
                <w:szCs w:val="22"/>
              </w:rPr>
              <w:t xml:space="preserve">Aula 01. </w:t>
            </w:r>
            <w:r>
              <w:rPr>
                <w:b w:val="0"/>
                <w:szCs w:val="22"/>
              </w:rPr>
              <w:t>(06/08) Redes Dialéticas – Básico.</w:t>
            </w:r>
          </w:p>
          <w:p w:rsidR="0093111B" w:rsidRDefault="0093111B" w:rsidP="00CE58A4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Aula 02. (13/08) Redes Dialéticas – Avançado.</w:t>
            </w:r>
          </w:p>
          <w:p w:rsidR="0093111B" w:rsidRDefault="0093111B" w:rsidP="00CE58A4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Aula 03. (20/08) Redes Dialéticas – Exemplos.</w:t>
            </w:r>
          </w:p>
          <w:p w:rsidR="0093111B" w:rsidRDefault="0093111B" w:rsidP="00CE58A4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Aula 04. (27/08) Os limites do modelo dedutivo (Catarina Dutilh Novaes)</w:t>
            </w:r>
          </w:p>
          <w:p w:rsidR="0093111B" w:rsidRDefault="0093111B" w:rsidP="00CE58A4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Aula 05. (03/09) Concepções de argumentação (Catarina Dutilh Novaes)</w:t>
            </w:r>
          </w:p>
          <w:p w:rsidR="0093111B" w:rsidRDefault="0093111B" w:rsidP="00CE58A4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Aula 06. (10/09) Desacordos profundos (Robert Fogelin)</w:t>
            </w:r>
          </w:p>
          <w:p w:rsidR="0093111B" w:rsidRDefault="0093111B" w:rsidP="00CE58A4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Aula 07. (17/09) De fábulas a argumentos (Trudy Govier)</w:t>
            </w:r>
          </w:p>
          <w:p w:rsidR="0093111B" w:rsidRDefault="0093111B" w:rsidP="00CE58A4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Aula 08. (24/09) </w:t>
            </w:r>
            <w:r w:rsidR="00294609">
              <w:rPr>
                <w:b w:val="0"/>
                <w:szCs w:val="22"/>
              </w:rPr>
              <w:t>Polarização (Walter Sinnott-Armstrong)</w:t>
            </w:r>
          </w:p>
          <w:p w:rsidR="00294609" w:rsidRDefault="00294609" w:rsidP="00CE58A4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Aula 09. (01/10) Fala tóxica e silenciamento (Walter Sinnott-Armstrong)</w:t>
            </w:r>
          </w:p>
          <w:p w:rsidR="00294609" w:rsidRDefault="00294609" w:rsidP="00CE58A4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Aula 10. (08/10) Regras de Rapoport e regras de van Eemeren &amp; Grootendorst</w:t>
            </w:r>
          </w:p>
          <w:p w:rsidR="00294609" w:rsidRDefault="00294609" w:rsidP="00CE58A4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Aula 11. (15/10) Argumentação </w:t>
            </w:r>
            <w:r w:rsidR="00101B8E">
              <w:rPr>
                <w:b w:val="0"/>
                <w:szCs w:val="22"/>
              </w:rPr>
              <w:t xml:space="preserve">real </w:t>
            </w:r>
            <w:r>
              <w:rPr>
                <w:b w:val="0"/>
                <w:szCs w:val="22"/>
              </w:rPr>
              <w:t>representada em Rede Dialética – I</w:t>
            </w:r>
          </w:p>
          <w:p w:rsidR="00294609" w:rsidRDefault="00294609" w:rsidP="00CE58A4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Aula 12. (22/10) Argumentação </w:t>
            </w:r>
            <w:r w:rsidR="00101B8E">
              <w:rPr>
                <w:b w:val="0"/>
                <w:szCs w:val="22"/>
              </w:rPr>
              <w:t xml:space="preserve">real </w:t>
            </w:r>
            <w:r>
              <w:rPr>
                <w:b w:val="0"/>
                <w:szCs w:val="22"/>
              </w:rPr>
              <w:t>representada em Rede Dialética – II</w:t>
            </w:r>
          </w:p>
          <w:p w:rsidR="00294609" w:rsidRDefault="00294609" w:rsidP="00CE58A4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Aula 13. (29/10) Argumentação </w:t>
            </w:r>
            <w:r w:rsidR="00101B8E">
              <w:rPr>
                <w:b w:val="0"/>
                <w:szCs w:val="22"/>
              </w:rPr>
              <w:t xml:space="preserve">real </w:t>
            </w:r>
            <w:bookmarkStart w:id="0" w:name="_GoBack"/>
            <w:bookmarkEnd w:id="0"/>
            <w:r>
              <w:rPr>
                <w:b w:val="0"/>
                <w:szCs w:val="22"/>
              </w:rPr>
              <w:t>representada em Rede Dialética – III</w:t>
            </w:r>
          </w:p>
          <w:p w:rsidR="00294609" w:rsidRDefault="00294609" w:rsidP="00CE58A4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Aula 14. (05/11) Jornada Acadêmica Integrada</w:t>
            </w:r>
          </w:p>
          <w:p w:rsidR="00294609" w:rsidRPr="0093111B" w:rsidRDefault="00294609" w:rsidP="00CE58A4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Aula 15. (12/11) Argumentação representada em Rede Dialética – IV</w:t>
            </w:r>
          </w:p>
        </w:tc>
      </w:tr>
    </w:tbl>
    <w:p w:rsidR="00C227F9" w:rsidRPr="00025734" w:rsidRDefault="00C227F9"/>
    <w:tbl>
      <w:tblPr>
        <w:tblStyle w:val="a2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227F9">
        <w:tc>
          <w:tcPr>
            <w:tcW w:w="9854" w:type="dxa"/>
            <w:shd w:val="clear" w:color="auto" w:fill="E6E6E6"/>
          </w:tcPr>
          <w:p w:rsidR="00C227F9" w:rsidRDefault="008C37AF">
            <w:r>
              <w:t>Metodologia adotada</w:t>
            </w:r>
          </w:p>
        </w:tc>
      </w:tr>
      <w:tr w:rsidR="00C227F9">
        <w:tc>
          <w:tcPr>
            <w:tcW w:w="9854" w:type="dxa"/>
            <w:shd w:val="clear" w:color="auto" w:fill="auto"/>
          </w:tcPr>
          <w:p w:rsidR="00C227F9" w:rsidRPr="00102612" w:rsidRDefault="008C37AF" w:rsidP="00AF049D">
            <w:pPr>
              <w:jc w:val="both"/>
              <w:rPr>
                <w:b w:val="0"/>
                <w:szCs w:val="22"/>
              </w:rPr>
            </w:pPr>
            <w:r w:rsidRPr="00102612">
              <w:rPr>
                <w:b w:val="0"/>
                <w:szCs w:val="22"/>
              </w:rPr>
              <w:t>Leitura e d</w:t>
            </w:r>
            <w:r w:rsidR="000B280E" w:rsidRPr="00102612">
              <w:rPr>
                <w:b w:val="0"/>
                <w:szCs w:val="22"/>
              </w:rPr>
              <w:t>iscussão de textos representativos da área</w:t>
            </w:r>
            <w:r w:rsidR="00AF049D" w:rsidRPr="00102612">
              <w:rPr>
                <w:b w:val="0"/>
                <w:szCs w:val="22"/>
              </w:rPr>
              <w:t>.</w:t>
            </w:r>
            <w:r w:rsidR="00294609">
              <w:rPr>
                <w:b w:val="0"/>
                <w:szCs w:val="22"/>
              </w:rPr>
              <w:t xml:space="preserve"> Construção de redes dialéticas.</w:t>
            </w:r>
          </w:p>
        </w:tc>
      </w:tr>
    </w:tbl>
    <w:p w:rsidR="0086093D" w:rsidRDefault="0086093D">
      <w:pPr>
        <w:rPr>
          <w:sz w:val="16"/>
        </w:rPr>
      </w:pPr>
    </w:p>
    <w:tbl>
      <w:tblPr>
        <w:tblStyle w:val="a4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227F9">
        <w:tc>
          <w:tcPr>
            <w:tcW w:w="9854" w:type="dxa"/>
            <w:shd w:val="clear" w:color="auto" w:fill="E6E6E6"/>
          </w:tcPr>
          <w:p w:rsidR="00C227F9" w:rsidRDefault="008C37AF">
            <w:r>
              <w:t>Critérios de avaliação</w:t>
            </w:r>
          </w:p>
        </w:tc>
      </w:tr>
      <w:tr w:rsidR="00C227F9">
        <w:tc>
          <w:tcPr>
            <w:tcW w:w="9854" w:type="dxa"/>
            <w:shd w:val="clear" w:color="auto" w:fill="auto"/>
          </w:tcPr>
          <w:p w:rsidR="00C227F9" w:rsidRPr="00102612" w:rsidRDefault="00294609" w:rsidP="00CE58A4">
            <w:pPr>
              <w:jc w:val="both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Condução de uma aula teórica</w:t>
            </w:r>
            <w:r w:rsidR="008A45E5">
              <w:rPr>
                <w:b w:val="0"/>
                <w:szCs w:val="22"/>
              </w:rPr>
              <w:t xml:space="preserve">, perfazendo 50% da nota na disciplina; </w:t>
            </w:r>
            <w:r>
              <w:rPr>
                <w:b w:val="0"/>
                <w:szCs w:val="22"/>
              </w:rPr>
              <w:t>construção de rede dialética sobre tema filosófico da escolha do(a) discente</w:t>
            </w:r>
            <w:r w:rsidR="008A45E5">
              <w:rPr>
                <w:b w:val="0"/>
                <w:szCs w:val="22"/>
              </w:rPr>
              <w:t>, perfazendo outros 50% da nota.</w:t>
            </w:r>
          </w:p>
        </w:tc>
      </w:tr>
    </w:tbl>
    <w:p w:rsidR="0086093D" w:rsidRDefault="0086093D">
      <w:pPr>
        <w:rPr>
          <w:sz w:val="16"/>
        </w:rPr>
      </w:pPr>
    </w:p>
    <w:tbl>
      <w:tblPr>
        <w:tblStyle w:val="a6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227F9">
        <w:tc>
          <w:tcPr>
            <w:tcW w:w="9854" w:type="dxa"/>
            <w:shd w:val="clear" w:color="auto" w:fill="E6E6E6"/>
          </w:tcPr>
          <w:p w:rsidR="00C227F9" w:rsidRDefault="008C37AF">
            <w:r>
              <w:t>Bibliografia básica e complementar</w:t>
            </w:r>
          </w:p>
        </w:tc>
      </w:tr>
      <w:tr w:rsidR="00C227F9" w:rsidRPr="00530160">
        <w:tc>
          <w:tcPr>
            <w:tcW w:w="9854" w:type="dxa"/>
            <w:shd w:val="clear" w:color="auto" w:fill="auto"/>
          </w:tcPr>
          <w:p w:rsidR="00BC6720" w:rsidRPr="00530160" w:rsidRDefault="00EC29F4" w:rsidP="00530160">
            <w:pPr>
              <w:jc w:val="both"/>
              <w:rPr>
                <w:b w:val="0"/>
                <w:szCs w:val="22"/>
                <w:lang w:val="en-US"/>
              </w:rPr>
            </w:pPr>
            <w:r w:rsidRPr="00530160">
              <w:rPr>
                <w:b w:val="0"/>
                <w:szCs w:val="22"/>
              </w:rPr>
              <w:t xml:space="preserve">DENNETT, Daniel C. </w:t>
            </w:r>
            <w:r w:rsidRPr="00530160">
              <w:rPr>
                <w:szCs w:val="22"/>
              </w:rPr>
              <w:t>Bombas de intuición y otras herramientas de pensamento.</w:t>
            </w:r>
            <w:r w:rsidRPr="00530160">
              <w:rPr>
                <w:b w:val="0"/>
                <w:szCs w:val="22"/>
              </w:rPr>
              <w:t xml:space="preserve"> </w:t>
            </w:r>
            <w:r w:rsidRPr="00530160">
              <w:rPr>
                <w:b w:val="0"/>
                <w:szCs w:val="22"/>
                <w:lang w:val="en-US"/>
              </w:rPr>
              <w:t>Mexico: FCE, 2015.</w:t>
            </w:r>
          </w:p>
          <w:p w:rsidR="00EC29F4" w:rsidRPr="00530160" w:rsidRDefault="00EC29F4" w:rsidP="00530160">
            <w:pPr>
              <w:jc w:val="both"/>
              <w:rPr>
                <w:b w:val="0"/>
                <w:szCs w:val="22"/>
                <w:lang w:val="en-US"/>
              </w:rPr>
            </w:pPr>
            <w:r w:rsidRPr="00530160">
              <w:rPr>
                <w:b w:val="0"/>
                <w:szCs w:val="22"/>
                <w:lang w:val="en-US"/>
              </w:rPr>
              <w:t xml:space="preserve">DUTILH NOVAES, Catarina. </w:t>
            </w:r>
            <w:r w:rsidR="00926C85" w:rsidRPr="00530160">
              <w:rPr>
                <w:b w:val="0"/>
                <w:szCs w:val="22"/>
                <w:lang w:val="en-US"/>
              </w:rPr>
              <w:t>Reassessing different conceptions of argumentation. In: TANESINI, A; LYNCH, M. (</w:t>
            </w:r>
            <w:proofErr w:type="spellStart"/>
            <w:r w:rsidR="00926C85" w:rsidRPr="00530160">
              <w:rPr>
                <w:b w:val="0"/>
                <w:szCs w:val="22"/>
                <w:lang w:val="en-US"/>
              </w:rPr>
              <w:t>eds</w:t>
            </w:r>
            <w:proofErr w:type="spellEnd"/>
            <w:r w:rsidR="00926C85" w:rsidRPr="00530160">
              <w:rPr>
                <w:b w:val="0"/>
                <w:szCs w:val="22"/>
                <w:lang w:val="en-US"/>
              </w:rPr>
              <w:t xml:space="preserve">) </w:t>
            </w:r>
            <w:proofErr w:type="spellStart"/>
            <w:r w:rsidR="00926C85" w:rsidRPr="00530160">
              <w:rPr>
                <w:szCs w:val="22"/>
                <w:lang w:val="en-US"/>
              </w:rPr>
              <w:t>Polarisation</w:t>
            </w:r>
            <w:proofErr w:type="spellEnd"/>
            <w:r w:rsidR="00926C85" w:rsidRPr="00530160">
              <w:rPr>
                <w:szCs w:val="22"/>
                <w:lang w:val="en-US"/>
              </w:rPr>
              <w:t xml:space="preserve">, arrogance and dogmatism: Philosophical perspectives. </w:t>
            </w:r>
            <w:r w:rsidR="00926C85" w:rsidRPr="00530160">
              <w:rPr>
                <w:b w:val="0"/>
                <w:szCs w:val="22"/>
                <w:lang w:val="en-US"/>
              </w:rPr>
              <w:t>London: Routledge, 2020.</w:t>
            </w:r>
          </w:p>
          <w:p w:rsidR="00926C85" w:rsidRPr="00530160" w:rsidRDefault="00926C85" w:rsidP="00530160">
            <w:pPr>
              <w:jc w:val="both"/>
              <w:rPr>
                <w:b w:val="0"/>
                <w:szCs w:val="22"/>
                <w:lang w:val="en-US"/>
              </w:rPr>
            </w:pPr>
            <w:r w:rsidRPr="00530160">
              <w:rPr>
                <w:b w:val="0"/>
                <w:szCs w:val="22"/>
                <w:lang w:val="en-US"/>
              </w:rPr>
              <w:t xml:space="preserve">DUTILH NOVAES, Catarina. </w:t>
            </w:r>
            <w:r w:rsidRPr="00530160">
              <w:rPr>
                <w:szCs w:val="22"/>
                <w:lang w:val="en-US"/>
              </w:rPr>
              <w:t xml:space="preserve">The dialogical roots of deduction. </w:t>
            </w:r>
            <w:r w:rsidRPr="00530160">
              <w:rPr>
                <w:b w:val="0"/>
                <w:szCs w:val="22"/>
                <w:lang w:val="en-US"/>
              </w:rPr>
              <w:t>Cambridge: Cambridge University Press, 2020.</w:t>
            </w:r>
          </w:p>
          <w:p w:rsidR="001821F4" w:rsidRPr="00530160" w:rsidRDefault="001821F4" w:rsidP="00530160">
            <w:pPr>
              <w:jc w:val="both"/>
              <w:rPr>
                <w:b w:val="0"/>
                <w:szCs w:val="22"/>
                <w:lang w:val="en-US"/>
              </w:rPr>
            </w:pPr>
            <w:r w:rsidRPr="00530160">
              <w:rPr>
                <w:b w:val="0"/>
                <w:szCs w:val="22"/>
                <w:lang w:val="en-US"/>
              </w:rPr>
              <w:t xml:space="preserve">FOGELIN, Robert. The logic of deep disagreements. </w:t>
            </w:r>
            <w:r w:rsidRPr="00530160">
              <w:rPr>
                <w:szCs w:val="22"/>
                <w:lang w:val="en-US"/>
              </w:rPr>
              <w:t>Informal Logic</w:t>
            </w:r>
            <w:r w:rsidRPr="00530160">
              <w:rPr>
                <w:b w:val="0"/>
                <w:szCs w:val="22"/>
                <w:lang w:val="en-US"/>
              </w:rPr>
              <w:t>, v. 7, p. 3-11, 1985.</w:t>
            </w:r>
          </w:p>
          <w:p w:rsidR="00533637" w:rsidRPr="00530160" w:rsidRDefault="00533637" w:rsidP="00530160">
            <w:pPr>
              <w:jc w:val="both"/>
              <w:rPr>
                <w:b w:val="0"/>
                <w:szCs w:val="22"/>
                <w:lang w:val="en-US"/>
              </w:rPr>
            </w:pPr>
            <w:r w:rsidRPr="00530160">
              <w:rPr>
                <w:b w:val="0"/>
                <w:szCs w:val="22"/>
                <w:lang w:val="en-US"/>
              </w:rPr>
              <w:t xml:space="preserve">GOVIER, Trudy. Teaching and Learning, Stories and Arguments. </w:t>
            </w:r>
            <w:r w:rsidRPr="00530160">
              <w:rPr>
                <w:szCs w:val="22"/>
                <w:lang w:val="en-US"/>
              </w:rPr>
              <w:t>Scandinavian Journal of Educational Research</w:t>
            </w:r>
            <w:r w:rsidRPr="00530160">
              <w:rPr>
                <w:b w:val="0"/>
                <w:szCs w:val="22"/>
                <w:lang w:val="en-US"/>
              </w:rPr>
              <w:t>, v. 57, n. 6, p. 587-599, 2013.</w:t>
            </w:r>
          </w:p>
          <w:p w:rsidR="00530160" w:rsidRPr="00530160" w:rsidRDefault="00530160" w:rsidP="00530160">
            <w:pPr>
              <w:jc w:val="both"/>
              <w:rPr>
                <w:b w:val="0"/>
                <w:szCs w:val="22"/>
              </w:rPr>
            </w:pPr>
            <w:r w:rsidRPr="00530160">
              <w:rPr>
                <w:b w:val="0"/>
                <w:szCs w:val="22"/>
              </w:rPr>
              <w:t xml:space="preserve">SAUTTER, Frank Thomas. Aperfeiçoamento das Redes Dialéticas. </w:t>
            </w:r>
            <w:r w:rsidRPr="00530160">
              <w:rPr>
                <w:szCs w:val="22"/>
              </w:rPr>
              <w:t>Cognitio</w:t>
            </w:r>
            <w:r w:rsidRPr="00530160">
              <w:rPr>
                <w:b w:val="0"/>
                <w:szCs w:val="22"/>
              </w:rPr>
              <w:t>. Aceito para publicação.</w:t>
            </w:r>
          </w:p>
          <w:p w:rsidR="00530160" w:rsidRPr="00530160" w:rsidRDefault="00530160" w:rsidP="00530160">
            <w:pPr>
              <w:jc w:val="both"/>
              <w:rPr>
                <w:b w:val="0"/>
                <w:szCs w:val="22"/>
                <w:lang w:val="en-US"/>
              </w:rPr>
            </w:pPr>
            <w:r w:rsidRPr="00530160">
              <w:rPr>
                <w:b w:val="0"/>
                <w:szCs w:val="22"/>
                <w:lang w:val="en-US"/>
              </w:rPr>
              <w:t xml:space="preserve">SINNOTT-ARMSTRONG, Walter. </w:t>
            </w:r>
            <w:r w:rsidRPr="00530160">
              <w:rPr>
                <w:szCs w:val="22"/>
                <w:lang w:val="en-US"/>
              </w:rPr>
              <w:t xml:space="preserve">Think again: How to Reason and Argue. </w:t>
            </w:r>
            <w:r w:rsidRPr="00530160">
              <w:rPr>
                <w:b w:val="0"/>
                <w:szCs w:val="22"/>
                <w:lang w:val="en-US"/>
              </w:rPr>
              <w:t>London: Oxford University Press, 2018.</w:t>
            </w:r>
          </w:p>
        </w:tc>
      </w:tr>
    </w:tbl>
    <w:p w:rsidR="00C227F9" w:rsidRPr="00530160" w:rsidRDefault="00C227F9">
      <w:pPr>
        <w:tabs>
          <w:tab w:val="left" w:pos="1335"/>
        </w:tabs>
        <w:rPr>
          <w:sz w:val="6"/>
          <w:szCs w:val="6"/>
          <w:lang w:val="en-US"/>
        </w:rPr>
      </w:pPr>
    </w:p>
    <w:sectPr w:rsidR="00C227F9" w:rsidRPr="00530160">
      <w:headerReference w:type="default" r:id="rId9"/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E46" w:rsidRDefault="00B72E46">
      <w:r>
        <w:separator/>
      </w:r>
    </w:p>
  </w:endnote>
  <w:endnote w:type="continuationSeparator" w:id="0">
    <w:p w:rsidR="00B72E46" w:rsidRDefault="00B7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-Identity-H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E46" w:rsidRDefault="00B72E46">
      <w:r>
        <w:separator/>
      </w:r>
    </w:p>
  </w:footnote>
  <w:footnote w:type="continuationSeparator" w:id="0">
    <w:p w:rsidR="00B72E46" w:rsidRDefault="00B72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7F9" w:rsidRDefault="00C227F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6"/>
        <w:szCs w:val="6"/>
      </w:rPr>
    </w:pPr>
  </w:p>
  <w:tbl>
    <w:tblPr>
      <w:tblStyle w:val="a9"/>
      <w:tblW w:w="10080" w:type="dxa"/>
      <w:tblInd w:w="-252" w:type="dxa"/>
      <w:tblLayout w:type="fixed"/>
      <w:tblLook w:val="0400" w:firstRow="0" w:lastRow="0" w:firstColumn="0" w:lastColumn="0" w:noHBand="0" w:noVBand="1"/>
    </w:tblPr>
    <w:tblGrid>
      <w:gridCol w:w="1662"/>
      <w:gridCol w:w="6636"/>
      <w:gridCol w:w="1782"/>
    </w:tblGrid>
    <w:tr w:rsidR="00C227F9">
      <w:trPr>
        <w:trHeight w:val="1079"/>
      </w:trPr>
      <w:tc>
        <w:tcPr>
          <w:tcW w:w="1662" w:type="dxa"/>
        </w:tcPr>
        <w:p w:rsidR="00C227F9" w:rsidRDefault="008C37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26"/>
            <w:jc w:val="both"/>
            <w:rPr>
              <w:rFonts w:ascii="Verdana" w:eastAsia="Verdana" w:hAnsi="Verdana" w:cs="Verdana"/>
              <w:color w:val="666666"/>
              <w:sz w:val="13"/>
              <w:szCs w:val="13"/>
            </w:rPr>
          </w:pPr>
          <w:r>
            <w:rPr>
              <w:rFonts w:eastAsia="Arial" w:cs="Arial"/>
              <w:noProof/>
              <w:szCs w:val="22"/>
              <w:lang w:val="en-US"/>
            </w:rPr>
            <w:drawing>
              <wp:inline distT="0" distB="0" distL="0" distR="0">
                <wp:extent cx="809625" cy="901065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9010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6" w:type="dxa"/>
        </w:tcPr>
        <w:p w:rsidR="00C227F9" w:rsidRDefault="00C227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eastAsia="Arial" w:cs="Arial"/>
              <w:sz w:val="16"/>
            </w:rPr>
          </w:pPr>
        </w:p>
        <w:p w:rsidR="00C227F9" w:rsidRDefault="00C227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eastAsia="Arial" w:cs="Arial"/>
              <w:sz w:val="16"/>
            </w:rPr>
          </w:pPr>
        </w:p>
        <w:p w:rsidR="00C227F9" w:rsidRDefault="008C37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eastAsia="Arial" w:cs="Arial"/>
              <w:sz w:val="16"/>
            </w:rPr>
          </w:pPr>
          <w:r>
            <w:rPr>
              <w:rFonts w:eastAsia="Arial" w:cs="Arial"/>
              <w:sz w:val="16"/>
            </w:rPr>
            <w:t>Ministério da Educação</w:t>
          </w:r>
        </w:p>
        <w:p w:rsidR="00C227F9" w:rsidRDefault="008C37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eastAsia="Arial" w:cs="Arial"/>
              <w:sz w:val="16"/>
            </w:rPr>
          </w:pPr>
          <w:r>
            <w:rPr>
              <w:rFonts w:eastAsia="Arial" w:cs="Arial"/>
              <w:sz w:val="16"/>
            </w:rPr>
            <w:t>Universidade Federal de Santa Maria</w:t>
          </w:r>
        </w:p>
        <w:p w:rsidR="00C227F9" w:rsidRDefault="008C37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eastAsia="Arial" w:cs="Arial"/>
              <w:sz w:val="16"/>
            </w:rPr>
          </w:pPr>
          <w:r>
            <w:rPr>
              <w:rFonts w:eastAsia="Arial" w:cs="Arial"/>
              <w:sz w:val="16"/>
            </w:rPr>
            <w:t>Centro de Ciências Sociais e Humanas</w:t>
          </w:r>
        </w:p>
        <w:p w:rsidR="00C227F9" w:rsidRDefault="00C211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eastAsia="Arial" w:cs="Arial"/>
              <w:sz w:val="16"/>
            </w:rPr>
          </w:pPr>
          <w:r>
            <w:rPr>
              <w:rFonts w:eastAsia="Arial" w:cs="Arial"/>
              <w:sz w:val="16"/>
            </w:rPr>
            <w:t>Programa de Pós-Graduação em Filosofia</w:t>
          </w:r>
        </w:p>
      </w:tc>
      <w:tc>
        <w:tcPr>
          <w:tcW w:w="1782" w:type="dxa"/>
          <w:vAlign w:val="center"/>
        </w:tcPr>
        <w:p w:rsidR="00C227F9" w:rsidRDefault="008C37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Verdana" w:eastAsia="Verdana" w:hAnsi="Verdana" w:cs="Verdana"/>
              <w:color w:val="666666"/>
              <w:sz w:val="13"/>
              <w:szCs w:val="13"/>
            </w:rPr>
          </w:pPr>
          <w:r>
            <w:rPr>
              <w:rFonts w:eastAsia="Arial" w:cs="Arial"/>
              <w:noProof/>
              <w:szCs w:val="22"/>
              <w:lang w:val="en-US"/>
            </w:rPr>
            <w:drawing>
              <wp:inline distT="0" distB="0" distL="0" distR="0">
                <wp:extent cx="525780" cy="525780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" cy="5257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C227F9" w:rsidRDefault="00C227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64C9F"/>
    <w:multiLevelType w:val="multilevel"/>
    <w:tmpl w:val="84CC2E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9"/>
    <w:rsid w:val="00013065"/>
    <w:rsid w:val="00025734"/>
    <w:rsid w:val="000922D4"/>
    <w:rsid w:val="000A33B7"/>
    <w:rsid w:val="000B280E"/>
    <w:rsid w:val="00101B8E"/>
    <w:rsid w:val="00102612"/>
    <w:rsid w:val="001821F4"/>
    <w:rsid w:val="001F0991"/>
    <w:rsid w:val="00234060"/>
    <w:rsid w:val="00250CC2"/>
    <w:rsid w:val="00294609"/>
    <w:rsid w:val="00352DC5"/>
    <w:rsid w:val="00401473"/>
    <w:rsid w:val="00495685"/>
    <w:rsid w:val="004E3204"/>
    <w:rsid w:val="005169B4"/>
    <w:rsid w:val="00530160"/>
    <w:rsid w:val="00533637"/>
    <w:rsid w:val="00770526"/>
    <w:rsid w:val="007C06E8"/>
    <w:rsid w:val="0086093D"/>
    <w:rsid w:val="008A45E5"/>
    <w:rsid w:val="008C37AF"/>
    <w:rsid w:val="00926C85"/>
    <w:rsid w:val="0093111B"/>
    <w:rsid w:val="009D0420"/>
    <w:rsid w:val="00A33FBA"/>
    <w:rsid w:val="00AF049D"/>
    <w:rsid w:val="00B72E46"/>
    <w:rsid w:val="00BC6720"/>
    <w:rsid w:val="00C05A7C"/>
    <w:rsid w:val="00C21148"/>
    <w:rsid w:val="00C227F9"/>
    <w:rsid w:val="00CA27D4"/>
    <w:rsid w:val="00CC308C"/>
    <w:rsid w:val="00CE58A4"/>
    <w:rsid w:val="00D231C2"/>
    <w:rsid w:val="00D44981"/>
    <w:rsid w:val="00D67EB1"/>
    <w:rsid w:val="00DF38E5"/>
    <w:rsid w:val="00EC29F4"/>
    <w:rsid w:val="00F34EDA"/>
    <w:rsid w:val="00F550E8"/>
    <w:rsid w:val="00F6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F5D74"/>
  <w15:docId w15:val="{7ABB1338-F94D-4D6D-B6A1-C867F357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b/>
        <w:color w:val="333333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4CE"/>
    <w:rPr>
      <w:rFonts w:eastAsia="Times New Roman" w:cs="Segoe UI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AA2"/>
    <w:pPr>
      <w:keepNext/>
      <w:spacing w:before="240" w:after="60"/>
      <w:outlineLvl w:val="0"/>
    </w:pPr>
    <w:rPr>
      <w:rFonts w:ascii="Cambria" w:hAnsi="Cambria" w:cs="Times New Roman"/>
      <w:b w:val="0"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4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customStyle="1" w:styleId="Preformatted">
    <w:name w:val="Preformatted"/>
    <w:basedOn w:val="Normal"/>
    <w:rsid w:val="006124C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646"/>
    <w:rPr>
      <w:rFonts w:ascii="Tahoma" w:hAnsi="Tahoma" w:cs="Tahoma"/>
      <w:sz w:val="16"/>
    </w:rPr>
  </w:style>
  <w:style w:type="character" w:customStyle="1" w:styleId="BalloonTextChar">
    <w:name w:val="Balloon Text Char"/>
    <w:link w:val="BalloonText"/>
    <w:uiPriority w:val="99"/>
    <w:semiHidden/>
    <w:rsid w:val="004C1646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174A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009A4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F009A4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009A4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F009A4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DF1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locked/>
    <w:rsid w:val="00194320"/>
    <w:rPr>
      <w:lang w:val="pt-BR" w:eastAsia="pt-BR" w:bidi="ar-SA"/>
    </w:rPr>
  </w:style>
  <w:style w:type="paragraph" w:styleId="NormalWeb">
    <w:name w:val="Normal (Web)"/>
    <w:basedOn w:val="Normal"/>
    <w:rsid w:val="002A573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FB39BB"/>
    <w:rPr>
      <w:rFonts w:cs="Times New Roman"/>
      <w:color w:val="0000FF"/>
      <w:u w:val="single"/>
    </w:rPr>
  </w:style>
  <w:style w:type="character" w:customStyle="1" w:styleId="fontstyle01">
    <w:name w:val="fontstyle01"/>
    <w:basedOn w:val="DefaultParagraphFont"/>
    <w:rsid w:val="00FA4EB7"/>
    <w:rPr>
      <w:rFonts w:ascii="ArialMT-Identity-H" w:hAnsi="ArialMT-Identity-H" w:hint="default"/>
      <w:b w:val="0"/>
      <w:bCs w:val="0"/>
      <w:i w:val="0"/>
      <w:iCs w:val="0"/>
      <w:color w:val="4B4B4D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35B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43C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21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Q+PV2FOM1egl11QkwteBZ3jrA==">AMUW2mUFYob1RiJZN7BuV6FOxvuE7HNA4DkIxG0qoqokLClb6WrbQd+vjgmq3C7Hxa9OUoVWiHdNItfAofCQkpTdxJ6qbGADROKBVhHTzUquSrk3kxi2xP8+D6CFrPaqE+quD+h9FS9z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351547-AFF8-4922-A88F-4BDFB276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Frank das aves raras</cp:lastModifiedBy>
  <cp:revision>8</cp:revision>
  <dcterms:created xsi:type="dcterms:W3CDTF">2025-07-09T11:55:00Z</dcterms:created>
  <dcterms:modified xsi:type="dcterms:W3CDTF">2025-07-13T13:18:00Z</dcterms:modified>
</cp:coreProperties>
</file>