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line="360" w:lineRule="auto"/>
        <w:jc w:val="both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Formulário de pedido de homologação de comissão examinadora</w:t>
      </w:r>
    </w:p>
    <w:p w:rsidR="00000000" w:rsidDel="00000000" w:rsidP="00000000" w:rsidRDefault="00000000" w:rsidRPr="00000000" w14:paraId="00000003">
      <w:pPr>
        <w:keepNext w:val="1"/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Encaminho solicitação de homologação de banca para: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Defesa de Mestrado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Qualificação de Doutorado            (  ) Defesa de Doutorado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Informações gerais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PPG: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do(a) discente: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do(a) orientador(a):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 do Trabalho: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Dados para a defesa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da Defesa: (dia), (mês), (ano).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Horário: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(presencial) ou link (online):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980"/>
        </w:tabs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Sugestão de Comissão Examinadora</w:t>
      </w:r>
    </w:p>
    <w:p w:rsidR="00000000" w:rsidDel="00000000" w:rsidP="00000000" w:rsidRDefault="00000000" w:rsidRPr="00000000" w14:paraId="00000014">
      <w:pPr>
        <w:tabs>
          <w:tab w:val="left" w:leader="none" w:pos="7980"/>
        </w:tabs>
        <w:jc w:val="both"/>
        <w:rPr>
          <w:rFonts w:ascii="Arial" w:cs="Arial" w:eastAsia="Arial" w:hAnsi="Arial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980"/>
        </w:tabs>
        <w:spacing w:line="360" w:lineRule="auto"/>
        <w:jc w:val="both"/>
        <w:rPr>
          <w:rFonts w:ascii="Arial" w:cs="Arial" w:eastAsia="Arial" w:hAnsi="Arial"/>
          <w:b w:val="1"/>
          <w:bCs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  </w:t>
      </w:r>
    </w:p>
    <w:tbl>
      <w:tblPr>
        <w:tblStyle w:val="Table1"/>
        <w:tblW w:w="934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29"/>
        <w:gridCol w:w="1815"/>
        <w:gridCol w:w="1425"/>
        <w:gridCol w:w="2010"/>
        <w:gridCol w:w="1366"/>
        <w:tblGridChange w:id="0">
          <w:tblGrid>
            <w:gridCol w:w="2729"/>
            <w:gridCol w:w="1815"/>
            <w:gridCol w:w="1425"/>
            <w:gridCol w:w="2010"/>
            <w:gridCol w:w="13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Classificação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(orientador, titular, suplente)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Instituição de origem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Link para currículo lattes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Prof(a). Dr(a).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Prof(a). Dr(a).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Justificativa para o convite: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Prof(a). Dr(a).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Justificativa para o convite: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Prof(a). Dr(a).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Justificativa para o convite: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Prof(a). Dr(a).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Prof(a). Dr(a).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Prof(a). Dr(a).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Justificativa para o convite:</w:t>
            </w:r>
          </w:p>
        </w:tc>
      </w:tr>
    </w:tbl>
    <w:p w:rsidR="00000000" w:rsidDel="00000000" w:rsidP="00000000" w:rsidRDefault="00000000" w:rsidRPr="00000000" w14:paraId="00000052">
      <w:pPr>
        <w:spacing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54">
      <w:pPr>
        <w:spacing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ab/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Assinado Digitalmente                                                 Assinado Digitalmente</w:t>
      </w:r>
    </w:p>
    <w:p w:rsidR="00000000" w:rsidDel="00000000" w:rsidP="00000000" w:rsidRDefault="00000000" w:rsidRPr="00000000" w14:paraId="00000058">
      <w:pPr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Discente                                                     Orientador(a)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98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Informações importantes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banca deve ser submetida para análise pelo Colegiado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PPG antes da abertura do processo de qualificação/defesa, com pelo menos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30 (trinta) dias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antes da data de defesa.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processo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qualificação/defesa precisa ser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aberto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com, no mínimo,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 (vinte) dias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antecedência da data em que o exame será realizado.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submissão pode ser realizada por meio do envio do respectivo formulário e demais documentos (conforme exigência de cada PPG) ao e-mail da SIPG/CCNE (pos.ccne@ufsm.br), com cópia ao e-mail do Programa ao qual o/a discente está vinculado.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composição da comissão examinadora deverá ser sugerida de comum acordo entre o(a) discente e o(a) orientador(a).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O(a) coorientador(a) pode ser indicado na planilha, contudo, não é considerado membro efetivo da comissão, assumindo esse papel somente nos casos em que haja necessidade de substituição do(a) orientador(a) como presidente da banca.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responsabilidade do(a) aluno(a) e do(a) orientador(a) verificar se existem exigências específicas apontadas no Regulamento ou normas internas do Programa de Pós-graduação ao qual está vinculado.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Devem ser apresentadas todas as informações solicitadas na planilha, com o número de membros de acordo com o tipo de qualificação/defesa que será realizada (mestrado ou doutorado).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Conforme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Regulamento Geral da Pós-Graduação da UFSM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poderão fazer parte das bancas o(a) cônjuge do/a discente ou do/a orientador(a) e/ou parentes afins do/a discente até o terceiro grau inclusive.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banca para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defesa/qualificação de mestrado/doutorado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deverão serem constituídas de acordo com o regulamento do respectivo programa.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" w:top="1133" w:left="1133" w:right="113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ZapfHumnst B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tabs>
        <w:tab w:val="center" w:leader="none" w:pos="4252"/>
        <w:tab w:val="right" w:leader="none" w:pos="8504"/>
      </w:tabs>
      <w:ind w:left="0" w:right="0" w:hanging="360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65">
    <w:pPr>
      <w:tabs>
        <w:tab w:val="center" w:leader="none" w:pos="4252"/>
        <w:tab w:val="right" w:leader="none" w:pos="8504"/>
      </w:tabs>
      <w:ind w:left="0" w:right="0" w:hanging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tabs>
        <w:tab w:val="center" w:leader="none" w:pos="4252"/>
        <w:tab w:val="right" w:leader="none" w:pos="8504"/>
      </w:tabs>
      <w:ind w:left="0" w:right="0" w:hanging="36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107950</wp:posOffset>
          </wp:positionV>
          <wp:extent cx="914400" cy="914400"/>
          <wp:effectExtent b="0" l="0" r="0" t="0"/>
          <wp:wrapSquare wrapText="bothSides" distB="0" distT="0" distL="114300" distR="114300"/>
          <wp:docPr descr="assinaturas para word 01" id="1" name="image1.png"/>
          <a:graphic>
            <a:graphicData uri="http://schemas.openxmlformats.org/drawingml/2006/picture">
              <pic:pic>
                <pic:nvPicPr>
                  <pic:cNvPr descr="assinaturas para word 0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tabs>
        <w:tab w:val="center" w:leader="none" w:pos="4252"/>
        <w:tab w:val="right" w:leader="none" w:pos="8504"/>
      </w:tabs>
      <w:ind w:left="0" w:right="0" w:hanging="360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68">
    <w:pPr>
      <w:tabs>
        <w:tab w:val="center" w:leader="none" w:pos="4252"/>
        <w:tab w:val="right" w:leader="none" w:pos="8504"/>
      </w:tabs>
      <w:ind w:left="0" w:right="0" w:hanging="360"/>
      <w:rPr/>
    </w:pPr>
    <w:r w:rsidDel="00000000" w:rsidR="00000000" w:rsidRPr="00000000">
      <w:rPr>
        <w:rtl w:val="0"/>
      </w:rPr>
      <w:t xml:space="preserve">                                                  Ministério da Educação</w:t>
    </w:r>
  </w:p>
  <w:p w:rsidR="00000000" w:rsidDel="00000000" w:rsidP="00000000" w:rsidRDefault="00000000" w:rsidRPr="00000000" w14:paraId="00000069">
    <w:pPr>
      <w:tabs>
        <w:tab w:val="center" w:leader="none" w:pos="4252"/>
        <w:tab w:val="right" w:leader="none" w:pos="8504"/>
      </w:tabs>
      <w:ind w:left="0" w:right="0" w:hanging="360"/>
      <w:rPr/>
    </w:pPr>
    <w:r w:rsidDel="00000000" w:rsidR="00000000" w:rsidRPr="00000000">
      <w:rPr>
        <w:rtl w:val="0"/>
      </w:rPr>
      <w:t xml:space="preserve">                                                  Universidade Federal de Santa Maria</w:t>
    </w:r>
  </w:p>
  <w:p w:rsidR="00000000" w:rsidDel="00000000" w:rsidP="00000000" w:rsidRDefault="00000000" w:rsidRPr="00000000" w14:paraId="0000006A">
    <w:pPr>
      <w:tabs>
        <w:tab w:val="center" w:leader="none" w:pos="4252"/>
        <w:tab w:val="right" w:leader="none" w:pos="8504"/>
      </w:tabs>
      <w:ind w:left="0" w:right="0" w:hanging="360"/>
      <w:rPr/>
    </w:pPr>
    <w:r w:rsidDel="00000000" w:rsidR="00000000" w:rsidRPr="00000000">
      <w:rPr>
        <w:rtl w:val="0"/>
      </w:rPr>
      <w:t xml:space="preserve">                                                  Centro de Ciências Naturais e Exatas</w:t>
    </w:r>
  </w:p>
  <w:p w:rsidR="00000000" w:rsidDel="00000000" w:rsidP="00000000" w:rsidRDefault="00000000" w:rsidRPr="00000000" w14:paraId="0000006B">
    <w:pPr>
      <w:tabs>
        <w:tab w:val="center" w:leader="none" w:pos="4252"/>
        <w:tab w:val="right" w:leader="none" w:pos="8504"/>
      </w:tabs>
      <w:ind w:left="0" w:right="0" w:hanging="360"/>
      <w:rPr/>
    </w:pPr>
    <w:r w:rsidDel="00000000" w:rsidR="00000000" w:rsidRPr="00000000">
      <w:rPr>
        <w:rtl w:val="0"/>
      </w:rPr>
      <w:t xml:space="preserve">                                                  Secretaria Integrada dos Cursos de Pós-Graduação do CCNE</w:t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ZapfHumnst BT" w:cs="ZapfHumnst BT" w:eastAsia="ZapfHumnst BT" w:hAnsi="ZapfHumnst BT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ufsm.br/app/uploads/sites/345/2023/10/RES_UFSM_2023_139_ANEXO_I_Regulamento-Geral-PG-Stricto-Sensu-UFSM-2023.pdf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