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ADICIONAIS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das atividade.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1.  Atividades com impacto e caráter inovador da produção intelectual em função da natureza do Programa, podendo contabilizar até 70 pontos.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1 Atividades com impacto e caráter inovador da produção intelectual em função da natureza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bookmarkStart w:colFirst="0" w:colLast="0" w:name="_heading=h.mkm9jkq0pb4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2.  Atividades com impacto econômico, social e cultural do Programa, podendo contabilizar até 70 pontos.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2 Atividades com impacto econômico, social e cultural do Programa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3. Atividades voltadas para a internacionalização, inserção (local, regional, nacional) e visibilidade do Programa, podendo contabilizar até 70 pontos.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as atividades.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Solicito____ pontos para o item 3 Atividades voltadas para a internacionalização, inserção (local, regional, nacional) e visibilidade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Total: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Solicito um total de _____ pontos, em atividades adicionais.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XX de XXXX de XXXX.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via gov.br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DmP8OVJJdT5E/w3KPelcrgTeg==">CgMxLjAyDmgubWttOWprcTBwYjRqOAByITFGdzFvX3FQVTgwWlg0bHl5MzJKNlN6YlJJZWkxNk9mbA==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2025-04-16T15:23:00Z</dcterms:created>
  <dc:creator>Win 10</dc:creator>
</cp:coreProperties>
</file>