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24DA" w14:textId="77777777" w:rsidR="00821371" w:rsidRDefault="00821371">
      <w:pPr>
        <w:jc w:val="center"/>
        <w:rPr>
          <w:rFonts w:cs="Calibri"/>
          <w:b/>
          <w:bCs/>
        </w:rPr>
      </w:pPr>
    </w:p>
    <w:p w14:paraId="6F4699EE" w14:textId="77777777" w:rsidR="00821371" w:rsidRDefault="00F653F5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RELATÓRIO FINAL</w:t>
      </w:r>
    </w:p>
    <w:p w14:paraId="028C3E65" w14:textId="77777777" w:rsidR="00821371" w:rsidRDefault="00821371">
      <w:pPr>
        <w:jc w:val="center"/>
        <w:rPr>
          <w:rFonts w:cs="Calibri"/>
          <w:b/>
          <w:bCs/>
        </w:rPr>
      </w:pPr>
    </w:p>
    <w:p w14:paraId="594250C7" w14:textId="77777777" w:rsidR="00821371" w:rsidRDefault="00821371">
      <w:pPr>
        <w:jc w:val="center"/>
        <w:rPr>
          <w:rFonts w:cs="Calibri"/>
          <w:b/>
          <w:bCs/>
        </w:rPr>
      </w:pPr>
    </w:p>
    <w:p w14:paraId="6021C2F3" w14:textId="77777777" w:rsidR="00821371" w:rsidRDefault="00F653F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À Professora Dra. </w:t>
      </w:r>
    </w:p>
    <w:p w14:paraId="0A40E143" w14:textId="77777777" w:rsidR="00821371" w:rsidRDefault="00F653F5" w:rsidP="002C0FF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Diretora do Centro de </w:t>
      </w:r>
    </w:p>
    <w:p w14:paraId="760E79EA" w14:textId="77777777" w:rsidR="002C0FF3" w:rsidRDefault="002C0FF3" w:rsidP="002C0FF3">
      <w:pPr>
        <w:spacing w:after="0" w:line="240" w:lineRule="auto"/>
        <w:jc w:val="both"/>
        <w:rPr>
          <w:rFonts w:cs="Calibri"/>
        </w:rPr>
      </w:pPr>
    </w:p>
    <w:p w14:paraId="2467F727" w14:textId="77777777" w:rsidR="002C0FF3" w:rsidRDefault="002C0FF3" w:rsidP="002C0FF3">
      <w:pPr>
        <w:spacing w:after="0" w:line="240" w:lineRule="auto"/>
        <w:jc w:val="both"/>
        <w:rPr>
          <w:rFonts w:cs="Calibri"/>
        </w:rPr>
      </w:pPr>
    </w:p>
    <w:p w14:paraId="4381516F" w14:textId="77777777" w:rsidR="00821371" w:rsidRDefault="00821371">
      <w:pPr>
        <w:jc w:val="both"/>
        <w:rPr>
          <w:rFonts w:cs="Calibri"/>
        </w:rPr>
      </w:pPr>
    </w:p>
    <w:p w14:paraId="531DE6FD" w14:textId="50B2B3BF" w:rsidR="00821371" w:rsidRDefault="00F653F5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A Comissão de Processo Administrativo Disciplinar Discente, designada pela Portaria </w:t>
      </w:r>
      <w:r w:rsidR="00F76A0A">
        <w:rPr>
          <w:rFonts w:cs="Calibri"/>
        </w:rPr>
        <w:t xml:space="preserve">nº </w:t>
      </w:r>
      <w:r w:rsidR="00680144">
        <w:rPr>
          <w:rFonts w:cs="Calibri"/>
        </w:rPr>
        <w:t>de XX</w:t>
      </w:r>
      <w:r w:rsidR="00B11896">
        <w:rPr>
          <w:rFonts w:cs="Calibri"/>
        </w:rPr>
        <w:t xml:space="preserve"> </w:t>
      </w:r>
      <w:r>
        <w:rPr>
          <w:rFonts w:cs="Calibri"/>
        </w:rPr>
        <w:t xml:space="preserve">de </w:t>
      </w:r>
      <w:r w:rsidR="00B11896">
        <w:rPr>
          <w:rFonts w:cs="Calibri"/>
        </w:rPr>
        <w:t>XX</w:t>
      </w:r>
      <w:r>
        <w:rPr>
          <w:rFonts w:cs="Calibri"/>
        </w:rPr>
        <w:t xml:space="preserve"> de,</w:t>
      </w:r>
      <w:r w:rsidR="00B44283">
        <w:rPr>
          <w:rFonts w:cs="Calibri"/>
        </w:rPr>
        <w:t xml:space="preserve"> 2025</w:t>
      </w:r>
      <w:r>
        <w:rPr>
          <w:rFonts w:cs="Calibri"/>
        </w:rPr>
        <w:t xml:space="preserve"> tendo como último ato a Apostila de Portaria em</w:t>
      </w:r>
      <w:r w:rsidR="00B44283">
        <w:rPr>
          <w:rFonts w:cs="Calibri"/>
        </w:rPr>
        <w:t xml:space="preserve"> </w:t>
      </w:r>
      <w:r w:rsidR="00F76A0A">
        <w:rPr>
          <w:rFonts w:cs="Calibri"/>
        </w:rPr>
        <w:t>XX de</w:t>
      </w:r>
      <w:r>
        <w:rPr>
          <w:rFonts w:cs="Calibri"/>
        </w:rPr>
        <w:t xml:space="preserve"> </w:t>
      </w:r>
      <w:r w:rsidR="00B44283">
        <w:rPr>
          <w:rFonts w:cs="Calibri"/>
        </w:rPr>
        <w:t>XXX</w:t>
      </w:r>
      <w:r>
        <w:rPr>
          <w:rFonts w:cs="Calibri"/>
        </w:rPr>
        <w:t xml:space="preserve"> de 202</w:t>
      </w:r>
      <w:r w:rsidR="00B44283">
        <w:rPr>
          <w:rFonts w:cs="Calibri"/>
        </w:rPr>
        <w:t>5</w:t>
      </w:r>
      <w:r>
        <w:rPr>
          <w:rFonts w:cs="Calibri"/>
        </w:rPr>
        <w:t>, para apuração dos fatos constantes no processo nº, vem apresentar o presente RELATÓRIO FINAL, nos termos do art. 16, §6°, da Resolução n° 17/2018 – Código de Ética e Convivência Discente da Universidade Federal de Santa Maria – UFSM.</w:t>
      </w:r>
    </w:p>
    <w:p w14:paraId="3D3365AE" w14:textId="48D8BAE6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  <w:t xml:space="preserve">A presente Comissão de PADD, grata pela confiança desta autoridade instauradora, vem manifestar que o processo foi instruído dentro da regularidade imposta. Os discentes envolvidos foram contatados por </w:t>
      </w:r>
      <w:r w:rsidR="00F76A0A">
        <w:rPr>
          <w:rFonts w:cs="Calibri"/>
        </w:rPr>
        <w:t>e-mail</w:t>
      </w:r>
      <w:r>
        <w:rPr>
          <w:rFonts w:cs="Calibri"/>
        </w:rPr>
        <w:t xml:space="preserve">, conforme consta nos autos e responderam às exigências processuais. Também foi dado acesso integral e ininterrupto aos alunos, em atenção estrita ao princípio da ampla defesa e contraditório. </w:t>
      </w:r>
    </w:p>
    <w:p w14:paraId="77D0A205" w14:textId="77777777" w:rsidR="00F653F5" w:rsidRDefault="00F653F5">
      <w:pPr>
        <w:jc w:val="both"/>
        <w:rPr>
          <w:rFonts w:cs="Calibri"/>
        </w:rPr>
      </w:pPr>
    </w:p>
    <w:p w14:paraId="19E4838B" w14:textId="77777777" w:rsidR="00821371" w:rsidRDefault="002C0FF3">
      <w:pPr>
        <w:ind w:firstLine="708"/>
        <w:jc w:val="both"/>
        <w:rPr>
          <w:rFonts w:cs="Calibri"/>
        </w:rPr>
      </w:pPr>
      <w:r>
        <w:rPr>
          <w:rFonts w:cs="Calibri"/>
        </w:rPr>
        <w:t>T</w:t>
      </w:r>
      <w:r w:rsidR="00F653F5">
        <w:rPr>
          <w:rFonts w:cs="Calibri"/>
        </w:rPr>
        <w:t>odas as manifestações de defesa foram anexadas ao processo e devidamente ponderadas nas considerações do presente Relatório Final, que passamos a expor.</w:t>
      </w:r>
    </w:p>
    <w:p w14:paraId="6E972A5C" w14:textId="77777777" w:rsidR="00821371" w:rsidRDefault="00821371">
      <w:pPr>
        <w:jc w:val="both"/>
        <w:rPr>
          <w:rFonts w:cs="Calibri"/>
        </w:rPr>
      </w:pPr>
    </w:p>
    <w:p w14:paraId="3840F479" w14:textId="77777777" w:rsidR="00821371" w:rsidRDefault="00F653F5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1. DOS ANTECEDENTES PROCESSUAIS</w:t>
      </w:r>
    </w:p>
    <w:p w14:paraId="2EEF92E9" w14:textId="77777777" w:rsidR="00821371" w:rsidRDefault="00F653F5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Trata-se de expediente disciplinar discente instaurado pela Portaria nº </w:t>
      </w:r>
      <w:r w:rsidR="002C0FF3">
        <w:rPr>
          <w:rFonts w:cs="Calibri"/>
        </w:rPr>
        <w:t>XX</w:t>
      </w:r>
      <w:r>
        <w:rPr>
          <w:rFonts w:cs="Calibri"/>
        </w:rPr>
        <w:t xml:space="preserve">, de </w:t>
      </w:r>
      <w:r w:rsidR="00B44283">
        <w:rPr>
          <w:rFonts w:cs="Calibri"/>
        </w:rPr>
        <w:t>XX</w:t>
      </w:r>
      <w:r>
        <w:rPr>
          <w:rFonts w:cs="Calibri"/>
        </w:rPr>
        <w:t xml:space="preserve">, que foi editada com substituição de presidente da comissão em </w:t>
      </w:r>
      <w:r w:rsidR="00B44283">
        <w:rPr>
          <w:rFonts w:cs="Calibri"/>
        </w:rPr>
        <w:t>XX</w:t>
      </w:r>
      <w:r>
        <w:rPr>
          <w:rFonts w:cs="Calibri"/>
        </w:rPr>
        <w:t xml:space="preserve"> de </w:t>
      </w:r>
      <w:r w:rsidR="00B44283">
        <w:rPr>
          <w:rFonts w:cs="Calibri"/>
        </w:rPr>
        <w:t>XX</w:t>
      </w:r>
      <w:r>
        <w:rPr>
          <w:rFonts w:cs="Calibri"/>
        </w:rPr>
        <w:t xml:space="preserve"> de 202</w:t>
      </w:r>
      <w:r w:rsidR="00B44283">
        <w:rPr>
          <w:rFonts w:cs="Calibri"/>
        </w:rPr>
        <w:t>5</w:t>
      </w:r>
      <w:r>
        <w:rPr>
          <w:rFonts w:cs="Calibri"/>
        </w:rPr>
        <w:t xml:space="preserve"> (doc. </w:t>
      </w:r>
      <w:r w:rsidR="00B44283">
        <w:rPr>
          <w:rFonts w:cs="Calibri"/>
        </w:rPr>
        <w:t>XX</w:t>
      </w:r>
      <w:r>
        <w:rPr>
          <w:rFonts w:cs="Calibri"/>
        </w:rPr>
        <w:t>). Foram necessárias duas prorrogações de prazo para que a CPADD pudesse concluir o trabalho sem prejuízo dos prazos de defesa, visto que, sendo dois discentes, os prazos são de 20 dias, ainda que as portarias disponibilizem 30 dias de trabalho para a comissão, conforme estabelecido na Resolução n° 17/2018 UFSM.</w:t>
      </w:r>
    </w:p>
    <w:p w14:paraId="37E3BD07" w14:textId="7CBE346D" w:rsidR="00821371" w:rsidRDefault="00F653F5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O presente processo teve origem na denúncia </w:t>
      </w:r>
      <w:r w:rsidR="00184F1D">
        <w:rPr>
          <w:rFonts w:cs="Calibri"/>
        </w:rPr>
        <w:t>de XXXXX</w:t>
      </w:r>
      <w:r>
        <w:rPr>
          <w:rFonts w:cs="Calibri"/>
        </w:rPr>
        <w:t xml:space="preserve">, contra os discentes </w:t>
      </w:r>
      <w:r w:rsidR="00184F1D">
        <w:rPr>
          <w:rFonts w:cs="Calibri"/>
        </w:rPr>
        <w:t>XXXXXX</w:t>
      </w:r>
      <w:r>
        <w:rPr>
          <w:rFonts w:cs="Calibri"/>
        </w:rPr>
        <w:t xml:space="preserve">, por terem </w:t>
      </w:r>
      <w:r w:rsidR="002C0FF3">
        <w:rPr>
          <w:rFonts w:cs="Calibri"/>
        </w:rPr>
        <w:t>XXX</w:t>
      </w:r>
      <w:r>
        <w:rPr>
          <w:rFonts w:cs="Calibri"/>
        </w:rPr>
        <w:t xml:space="preserve">, </w:t>
      </w:r>
      <w:r w:rsidR="00F76A0A">
        <w:rPr>
          <w:rFonts w:cs="Calibri"/>
        </w:rPr>
        <w:t>os</w:t>
      </w:r>
      <w:r>
        <w:rPr>
          <w:rFonts w:cs="Calibri"/>
        </w:rPr>
        <w:t xml:space="preserve"> atos, segundo a denúncia, ocorreram no </w:t>
      </w:r>
      <w:r w:rsidR="002C0FF3">
        <w:rPr>
          <w:rFonts w:cs="Calibri"/>
        </w:rPr>
        <w:t>XXX</w:t>
      </w:r>
      <w:r>
        <w:rPr>
          <w:rFonts w:cs="Calibri"/>
        </w:rPr>
        <w:t xml:space="preserve">, Centro de Ciências </w:t>
      </w:r>
      <w:r w:rsidR="00B44283">
        <w:rPr>
          <w:rFonts w:cs="Calibri"/>
        </w:rPr>
        <w:t>XXX</w:t>
      </w:r>
      <w:r>
        <w:rPr>
          <w:rFonts w:cs="Calibri"/>
        </w:rPr>
        <w:t xml:space="preserve">. </w:t>
      </w:r>
    </w:p>
    <w:p w14:paraId="36D77ADA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  <w:t xml:space="preserve">O processo foi instruído com </w:t>
      </w:r>
      <w:r w:rsidR="002C0FF3">
        <w:rPr>
          <w:rFonts w:cs="Calibri"/>
        </w:rPr>
        <w:t>XXXX</w:t>
      </w:r>
    </w:p>
    <w:p w14:paraId="0390D7B6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  <w:t xml:space="preserve">A partir da constituição da nova comissão de PAD (doc. </w:t>
      </w:r>
      <w:r w:rsidR="00B44283">
        <w:rPr>
          <w:rFonts w:cs="Calibri"/>
        </w:rPr>
        <w:t>XX</w:t>
      </w:r>
      <w:r>
        <w:rPr>
          <w:rFonts w:cs="Calibri"/>
        </w:rPr>
        <w:t xml:space="preserve">), foi dado início aos trabalhos, com as comunicações de praxe, chefias e autoridade instauradora (doc. </w:t>
      </w:r>
      <w:r w:rsidR="00B44283">
        <w:rPr>
          <w:rFonts w:cs="Calibri"/>
        </w:rPr>
        <w:t>XX</w:t>
      </w:r>
      <w:r>
        <w:rPr>
          <w:rFonts w:cs="Calibri"/>
        </w:rPr>
        <w:t xml:space="preserve">). Cumpre esclarecer que as comunicações são necessárias para garantir que os acusados tenham o direito de </w:t>
      </w:r>
      <w:r>
        <w:rPr>
          <w:rFonts w:cs="Calibri"/>
        </w:rPr>
        <w:lastRenderedPageBreak/>
        <w:t>comparecer aos atos processuais, reservar datas para atuar em sua ampla defesa, sem qualquer prejuízo nas atividades acadêmicas, ou seja, o processo administrativo disciplinar acusatório tem prioridade sobre outras atividades.</w:t>
      </w:r>
    </w:p>
    <w:p w14:paraId="66B024C7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  <w:t xml:space="preserve">A Ata 01 (doc. </w:t>
      </w:r>
      <w:r w:rsidR="00B44283">
        <w:rPr>
          <w:rFonts w:cs="Calibri"/>
        </w:rPr>
        <w:t>XX</w:t>
      </w:r>
      <w:r>
        <w:rPr>
          <w:rFonts w:cs="Calibri"/>
        </w:rPr>
        <w:t xml:space="preserve">) </w:t>
      </w:r>
      <w:r w:rsidR="002C0FF3">
        <w:rPr>
          <w:rFonts w:cs="Calibri"/>
        </w:rPr>
        <w:t>XXXX</w:t>
      </w:r>
    </w:p>
    <w:p w14:paraId="0E7FC0F6" w14:textId="789C85AF" w:rsidR="00821371" w:rsidRDefault="00F653F5">
      <w:pPr>
        <w:jc w:val="both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Ato contínuo, foram juntados os históricos escolares dos alunos acusados. Os mesmos foram citados (docs.). O discente </w:t>
      </w:r>
      <w:r w:rsidR="00F76A0A">
        <w:rPr>
          <w:rFonts w:cs="Calibri"/>
        </w:rPr>
        <w:t>XXXX juntou</w:t>
      </w:r>
      <w:r>
        <w:rPr>
          <w:rFonts w:cs="Calibri"/>
        </w:rPr>
        <w:t xml:space="preserve"> procuração (doc. 26) aos autos e obteve pleno acesso ao processo eletrônico (doc.), já a defesa constituída recebeu o processo na </w:t>
      </w:r>
      <w:r w:rsidR="00F76A0A">
        <w:rPr>
          <w:rFonts w:cs="Calibri"/>
        </w:rPr>
        <w:t>íntegra, por</w:t>
      </w:r>
      <w:r>
        <w:rPr>
          <w:rFonts w:cs="Calibri"/>
        </w:rPr>
        <w:t xml:space="preserve"> </w:t>
      </w:r>
      <w:r w:rsidR="00F76A0A">
        <w:rPr>
          <w:rFonts w:cs="Calibri"/>
        </w:rPr>
        <w:t>e-mail</w:t>
      </w:r>
      <w:r>
        <w:rPr>
          <w:rFonts w:cs="Calibri"/>
        </w:rPr>
        <w:t xml:space="preserve">, porque não houve cadastro do defensor para acesso PEN SIE. </w:t>
      </w:r>
    </w:p>
    <w:p w14:paraId="561A489A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</w:r>
      <w:r w:rsidR="00B44283">
        <w:rPr>
          <w:rFonts w:cs="Calibri"/>
        </w:rPr>
        <w:t>Ato contínuo</w:t>
      </w:r>
      <w:r>
        <w:rPr>
          <w:rFonts w:cs="Calibri"/>
        </w:rPr>
        <w:t>, Ata 03 (doc.) delibera pela continuidade do processo sem alterações e que os argumentos das defesas serão considerados em sede de Relatório Final.</w:t>
      </w:r>
    </w:p>
    <w:p w14:paraId="49600E5E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  <w:t xml:space="preserve">Intimado (doc. 50) o denunciante </w:t>
      </w:r>
      <w:r w:rsidR="00EB7079">
        <w:rPr>
          <w:rFonts w:cs="Calibri"/>
        </w:rPr>
        <w:t>XXXX</w:t>
      </w:r>
      <w:r>
        <w:rPr>
          <w:rFonts w:cs="Calibri"/>
        </w:rPr>
        <w:t xml:space="preserve"> foi ouvido pela comissão de PADD (doc. </w:t>
      </w:r>
      <w:r w:rsidR="00B44283">
        <w:rPr>
          <w:rFonts w:cs="Calibri"/>
        </w:rPr>
        <w:t>XX</w:t>
      </w:r>
      <w:r>
        <w:rPr>
          <w:rFonts w:cs="Calibri"/>
        </w:rPr>
        <w:t xml:space="preserve">). Importa destacar que, questionado, o depoente afirmou </w:t>
      </w:r>
      <w:r w:rsidR="002C0FF3">
        <w:rPr>
          <w:rFonts w:cs="Calibri"/>
        </w:rPr>
        <w:t>XXXX</w:t>
      </w:r>
    </w:p>
    <w:p w14:paraId="0513FE80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  <w:t xml:space="preserve">Para finalizar a instrução, foram interrogados os acusados </w:t>
      </w:r>
      <w:r w:rsidR="00EB7079">
        <w:rPr>
          <w:rFonts w:cs="Calibri"/>
        </w:rPr>
        <w:t>XXXX</w:t>
      </w:r>
      <w:r>
        <w:rPr>
          <w:rFonts w:cs="Calibri"/>
        </w:rPr>
        <w:t xml:space="preserve"> (doc. 55) e </w:t>
      </w:r>
      <w:r w:rsidR="00EB7079">
        <w:rPr>
          <w:rFonts w:cs="Calibri"/>
        </w:rPr>
        <w:t>XXX</w:t>
      </w:r>
      <w:r>
        <w:rPr>
          <w:rFonts w:cs="Calibri"/>
        </w:rPr>
        <w:t xml:space="preserve"> (doc. 57).</w:t>
      </w:r>
    </w:p>
    <w:p w14:paraId="6B171983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  <w:t xml:space="preserve">Em interrogatório, o acusado </w:t>
      </w:r>
      <w:r w:rsidR="00EB7079">
        <w:rPr>
          <w:rFonts w:cs="Calibri"/>
        </w:rPr>
        <w:t>XXX</w:t>
      </w:r>
      <w:r>
        <w:rPr>
          <w:rFonts w:cs="Calibri"/>
        </w:rPr>
        <w:t xml:space="preserve"> afirmou que </w:t>
      </w:r>
      <w:r w:rsidR="002C0FF3">
        <w:rPr>
          <w:rFonts w:cs="Calibri"/>
        </w:rPr>
        <w:t>XXXX</w:t>
      </w:r>
    </w:p>
    <w:p w14:paraId="703AAC73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A CPAD</w:t>
      </w:r>
      <w:r w:rsidR="00B44283">
        <w:rPr>
          <w:rFonts w:cs="Calibri"/>
        </w:rPr>
        <w:t>D</w:t>
      </w:r>
      <w:r>
        <w:rPr>
          <w:rFonts w:cs="Calibri"/>
        </w:rPr>
        <w:t xml:space="preserve"> deliberou</w:t>
      </w:r>
      <w:r w:rsidR="00B44283">
        <w:rPr>
          <w:rFonts w:cs="Calibri"/>
        </w:rPr>
        <w:t xml:space="preserve"> em ata</w:t>
      </w:r>
      <w:r>
        <w:rPr>
          <w:rFonts w:cs="Calibri"/>
        </w:rPr>
        <w:t xml:space="preserve"> (doc. </w:t>
      </w:r>
      <w:r w:rsidR="00B44283">
        <w:rPr>
          <w:rFonts w:cs="Calibri"/>
        </w:rPr>
        <w:t>XX</w:t>
      </w:r>
      <w:r>
        <w:rPr>
          <w:rFonts w:cs="Calibri"/>
        </w:rPr>
        <w:t>) por elaborar o termo de Indicia</w:t>
      </w:r>
      <w:r w:rsidR="00B44283">
        <w:rPr>
          <w:rFonts w:cs="Calibri"/>
        </w:rPr>
        <w:t>mento</w:t>
      </w:r>
      <w:r>
        <w:rPr>
          <w:rFonts w:cs="Calibri"/>
        </w:rPr>
        <w:t xml:space="preserve">, contendo pormenorizadamente as razões pelas quais os acusados estão respondendo, bem como os possíveis enquadramentos das irregularidades apuradas (doc. </w:t>
      </w:r>
      <w:r w:rsidR="00B44283">
        <w:rPr>
          <w:rFonts w:cs="Calibri"/>
        </w:rPr>
        <w:t>XX</w:t>
      </w:r>
      <w:r>
        <w:rPr>
          <w:rFonts w:cs="Calibri"/>
        </w:rPr>
        <w:t>)</w:t>
      </w:r>
    </w:p>
    <w:p w14:paraId="15F6AD58" w14:textId="3105A2E1" w:rsidR="00821371" w:rsidRDefault="00F653F5">
      <w:pPr>
        <w:jc w:val="both"/>
        <w:rPr>
          <w:rFonts w:cs="Calibri"/>
          <w:bCs/>
        </w:rPr>
      </w:pPr>
      <w:r>
        <w:rPr>
          <w:rFonts w:cs="Calibri"/>
          <w:b/>
          <w:bCs/>
        </w:rPr>
        <w:tab/>
      </w:r>
      <w:r>
        <w:rPr>
          <w:rFonts w:cs="Calibri"/>
          <w:bCs/>
        </w:rPr>
        <w:t>Oportunizada</w:t>
      </w:r>
      <w:r w:rsidR="00B44283">
        <w:rPr>
          <w:rFonts w:cs="Calibri"/>
          <w:bCs/>
        </w:rPr>
        <w:t xml:space="preserve"> </w:t>
      </w:r>
      <w:r>
        <w:rPr>
          <w:rFonts w:cs="Calibri"/>
          <w:bCs/>
        </w:rPr>
        <w:t>defesa</w:t>
      </w:r>
      <w:r w:rsidR="00B44283">
        <w:rPr>
          <w:rFonts w:cs="Calibri"/>
          <w:bCs/>
        </w:rPr>
        <w:t xml:space="preserve"> escrita</w:t>
      </w:r>
      <w:r>
        <w:rPr>
          <w:rFonts w:cs="Calibri"/>
          <w:bCs/>
        </w:rPr>
        <w:t xml:space="preserve"> aos acusados, </w:t>
      </w:r>
      <w:r w:rsidR="00EB7079">
        <w:rPr>
          <w:rFonts w:cs="Calibri"/>
          <w:bCs/>
        </w:rPr>
        <w:t>XXXX</w:t>
      </w:r>
      <w:r>
        <w:rPr>
          <w:rFonts w:cs="Calibri"/>
          <w:bCs/>
        </w:rPr>
        <w:t xml:space="preserve"> juntou suas alegações (doc. 81</w:t>
      </w:r>
      <w:r w:rsidR="00F76A0A">
        <w:rPr>
          <w:rFonts w:cs="Calibri"/>
          <w:bCs/>
        </w:rPr>
        <w:t>), sustenta</w:t>
      </w:r>
      <w:r>
        <w:rPr>
          <w:rFonts w:cs="Calibri"/>
          <w:bCs/>
        </w:rPr>
        <w:t xml:space="preserve"> que </w:t>
      </w:r>
      <w:r w:rsidR="002C0FF3">
        <w:rPr>
          <w:rFonts w:cs="Calibri"/>
          <w:bCs/>
        </w:rPr>
        <w:t>XXXX</w:t>
      </w:r>
    </w:p>
    <w:p w14:paraId="3364BC4C" w14:textId="77777777" w:rsidR="00821371" w:rsidRDefault="00F653F5">
      <w:pPr>
        <w:jc w:val="both"/>
        <w:rPr>
          <w:rFonts w:cs="Calibri"/>
          <w:bCs/>
        </w:rPr>
      </w:pPr>
      <w:r>
        <w:rPr>
          <w:rFonts w:cs="Calibri"/>
          <w:bCs/>
        </w:rPr>
        <w:tab/>
        <w:t>Este é o relatório processual.</w:t>
      </w:r>
    </w:p>
    <w:p w14:paraId="3A987358" w14:textId="77777777" w:rsidR="00821371" w:rsidRDefault="00F653F5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2. DAS PROVAS</w:t>
      </w:r>
    </w:p>
    <w:p w14:paraId="058DD89B" w14:textId="77777777" w:rsidR="00821371" w:rsidRDefault="00F653F5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A denúncia é bastante completa especialmente porque </w:t>
      </w:r>
      <w:r w:rsidR="002C0FF3">
        <w:rPr>
          <w:rFonts w:cs="Calibri"/>
        </w:rPr>
        <w:t>XXXXX</w:t>
      </w:r>
    </w:p>
    <w:p w14:paraId="2DBB596C" w14:textId="77777777" w:rsidR="00B44283" w:rsidRDefault="00F653F5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Na indiciação, a comissão apontou a participação de ambos os alunos, visto que nas imagens é possível identificar o discente </w:t>
      </w:r>
      <w:r w:rsidR="00EB7079">
        <w:rPr>
          <w:rFonts w:cs="Calibri"/>
        </w:rPr>
        <w:t>XXXX</w:t>
      </w:r>
      <w:r>
        <w:rPr>
          <w:rFonts w:cs="Calibri"/>
        </w:rPr>
        <w:t xml:space="preserve">, </w:t>
      </w:r>
    </w:p>
    <w:p w14:paraId="07625709" w14:textId="77777777" w:rsidR="00821371" w:rsidRDefault="00F653F5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Em defesa, </w:t>
      </w:r>
      <w:r w:rsidR="00EB7079">
        <w:rPr>
          <w:rFonts w:cs="Calibri"/>
        </w:rPr>
        <w:t>XXX</w:t>
      </w:r>
      <w:r>
        <w:rPr>
          <w:rFonts w:cs="Calibri"/>
        </w:rPr>
        <w:t xml:space="preserve"> sustenta que </w:t>
      </w:r>
      <w:r w:rsidR="00B44283">
        <w:rPr>
          <w:rFonts w:cs="Calibri"/>
        </w:rPr>
        <w:t>XXX</w:t>
      </w:r>
      <w:r>
        <w:rPr>
          <w:rFonts w:cs="Calibri"/>
        </w:rPr>
        <w:t xml:space="preserve">, </w:t>
      </w:r>
      <w:r w:rsidR="007C31B1">
        <w:rPr>
          <w:rFonts w:cs="Calibri"/>
        </w:rPr>
        <w:t>refuta</w:t>
      </w:r>
      <w:r>
        <w:rPr>
          <w:rFonts w:cs="Calibri"/>
        </w:rPr>
        <w:t xml:space="preserve">, contudo, que </w:t>
      </w:r>
      <w:r w:rsidR="002C0FF3">
        <w:rPr>
          <w:rFonts w:cs="Calibri"/>
        </w:rPr>
        <w:t>XX</w:t>
      </w:r>
    </w:p>
    <w:p w14:paraId="62B19CBB" w14:textId="77777777" w:rsidR="00821371" w:rsidRDefault="00F653F5" w:rsidP="002C0FF3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Afirma, também em defesa (doc. </w:t>
      </w:r>
      <w:r w:rsidR="00B44283">
        <w:rPr>
          <w:rFonts w:cs="Calibri"/>
        </w:rPr>
        <w:t>XX</w:t>
      </w:r>
      <w:r>
        <w:rPr>
          <w:rFonts w:cs="Calibri"/>
        </w:rPr>
        <w:t xml:space="preserve">), que a indiciada </w:t>
      </w:r>
      <w:r w:rsidR="00EB7079">
        <w:rPr>
          <w:rFonts w:cs="Calibri"/>
        </w:rPr>
        <w:t>XXXX</w:t>
      </w:r>
      <w:r>
        <w:rPr>
          <w:rFonts w:cs="Calibri"/>
        </w:rPr>
        <w:t xml:space="preserve">, em seu interrogatório “claramente expressou a ausência de motivação e envolvimento do estudante </w:t>
      </w:r>
      <w:r w:rsidR="00EB7079">
        <w:rPr>
          <w:rFonts w:cs="Calibri"/>
        </w:rPr>
        <w:t>XXXX</w:t>
      </w:r>
      <w:r>
        <w:rPr>
          <w:rFonts w:cs="Calibri"/>
        </w:rPr>
        <w:t xml:space="preserve"> com os fatos investigados.”  </w:t>
      </w:r>
    </w:p>
    <w:p w14:paraId="52D68F12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  <w:t>O Plano de Desenvolvimento Institucional (PDI) em vigor até 2026 na UFSM é claro quanto ao perfil dos seus egressos:</w:t>
      </w:r>
    </w:p>
    <w:p w14:paraId="0C3B76EA" w14:textId="77777777" w:rsidR="00821371" w:rsidRDefault="00F653F5">
      <w:pPr>
        <w:ind w:left="2552"/>
        <w:jc w:val="both"/>
        <w:rPr>
          <w:rFonts w:cs="Calibri"/>
        </w:rPr>
      </w:pPr>
      <w:r>
        <w:rPr>
          <w:rFonts w:cs="Calibri"/>
        </w:rPr>
        <w:t xml:space="preserve">O estudante egresso da Universidade Federal de Santa Maria deve ser um cidadão capaz de um envolvimento importante no quadro de mudanças sociais. A formação acadêmica deve contribuir para </w:t>
      </w:r>
      <w:r>
        <w:rPr>
          <w:rFonts w:cs="Calibri"/>
        </w:rPr>
        <w:lastRenderedPageBreak/>
        <w:t>desenvolver a capacidade empreendedora e de inovação, dando condições para que o acadêmico não apenas exerça uma profissão, mas vá além, identificando questões relevantes a sua volta e avaliando diferentes posições a fim de atuar na resolução dos problemas. Deve dar a ele também a clareza de que, sendo formado em uma instituição pública, desta recebe a qualificação necessária para, através de suas ideias e seu trabalho, beneficiar a sociedade. A formação não é, no caso, apenas uma forma de defender os próprios interesses, mas antes de tudo uma forma de contribuir para resolver problemas que dizem respeito a outras pessoas. (pág. 154)</w:t>
      </w:r>
    </w:p>
    <w:p w14:paraId="604DAC86" w14:textId="69F6D399" w:rsidR="00821371" w:rsidRDefault="00F653F5">
      <w:pPr>
        <w:ind w:firstLine="709"/>
        <w:jc w:val="both"/>
        <w:rPr>
          <w:rFonts w:cs="Calibri"/>
        </w:rPr>
      </w:pPr>
      <w:r>
        <w:rPr>
          <w:rFonts w:cs="Calibri"/>
        </w:rPr>
        <w:t xml:space="preserve">Tal compromisso previsto no PDI da instituição, certifica que uma instituição de ensino na envergadura </w:t>
      </w:r>
      <w:r w:rsidR="00F76A0A">
        <w:rPr>
          <w:rFonts w:cs="Calibri"/>
        </w:rPr>
        <w:t>que temos</w:t>
      </w:r>
      <w:r>
        <w:rPr>
          <w:rFonts w:cs="Calibri"/>
        </w:rPr>
        <w:t xml:space="preserve"> e que desejamos, todos, servidores docentes, servidores técnicos administrativos em educação e alunos, não se resume a formar tecnicamente o corpo discente, para além disso, é formar cidadãos, pessoas que pensam e agem pelo bem do próximo.</w:t>
      </w:r>
    </w:p>
    <w:p w14:paraId="1EE06F64" w14:textId="049DBF11" w:rsidR="00821371" w:rsidRDefault="00F653F5">
      <w:pPr>
        <w:ind w:firstLine="709"/>
        <w:jc w:val="both"/>
        <w:rPr>
          <w:rFonts w:cs="Calibri"/>
        </w:rPr>
      </w:pPr>
      <w:r>
        <w:rPr>
          <w:rFonts w:cs="Calibri"/>
        </w:rPr>
        <w:t xml:space="preserve">Ignorar as </w:t>
      </w:r>
      <w:r w:rsidR="002C0FF3">
        <w:rPr>
          <w:rFonts w:cs="Calibri"/>
        </w:rPr>
        <w:t>testemunhas</w:t>
      </w:r>
      <w:r>
        <w:rPr>
          <w:rFonts w:cs="Calibri"/>
        </w:rPr>
        <w:t xml:space="preserve">, onde se </w:t>
      </w:r>
      <w:r w:rsidR="002C0FF3">
        <w:rPr>
          <w:rFonts w:cs="Calibri"/>
        </w:rPr>
        <w:t xml:space="preserve">constata </w:t>
      </w:r>
      <w:r w:rsidR="00F76A0A">
        <w:rPr>
          <w:rFonts w:cs="Calibri"/>
        </w:rPr>
        <w:t>o dano</w:t>
      </w:r>
      <w:r>
        <w:rPr>
          <w:rFonts w:cs="Calibri"/>
        </w:rPr>
        <w:t xml:space="preserve"> psicológico</w:t>
      </w:r>
      <w:r w:rsidR="002C0FF3">
        <w:rPr>
          <w:rFonts w:cs="Calibri"/>
        </w:rPr>
        <w:t xml:space="preserve"> causado</w:t>
      </w:r>
      <w:r>
        <w:rPr>
          <w:rFonts w:cs="Calibri"/>
        </w:rPr>
        <w:t xml:space="preserve"> à vítimas seria, no mínimo, contraditório com o interesse da administração pública e especialmente desta instituição</w:t>
      </w:r>
      <w:r w:rsidR="007C31B1">
        <w:rPr>
          <w:rFonts w:cs="Calibri"/>
        </w:rPr>
        <w:t xml:space="preserve"> formalizado no PDI</w:t>
      </w:r>
      <w:r>
        <w:rPr>
          <w:rFonts w:cs="Calibri"/>
        </w:rPr>
        <w:t>.</w:t>
      </w:r>
    </w:p>
    <w:p w14:paraId="231E1996" w14:textId="4813276B" w:rsidR="00821371" w:rsidRDefault="00F653F5">
      <w:pPr>
        <w:ind w:firstLine="709"/>
        <w:jc w:val="both"/>
        <w:rPr>
          <w:rFonts w:cs="Calibri"/>
        </w:rPr>
      </w:pPr>
      <w:r>
        <w:rPr>
          <w:rFonts w:cs="Calibri"/>
        </w:rPr>
        <w:t xml:space="preserve">Assim, resta a esta Comissão de Processo Administrativo Disciplinar Discente, </w:t>
      </w:r>
      <w:r w:rsidR="00F76A0A">
        <w:rPr>
          <w:rFonts w:cs="Calibri"/>
        </w:rPr>
        <w:t>reconhecer que</w:t>
      </w:r>
      <w:r>
        <w:rPr>
          <w:rFonts w:cs="Calibri"/>
        </w:rPr>
        <w:t xml:space="preserve"> ambos os alunos incorreram na prática lesiva à regra pública, tipificada nos </w:t>
      </w:r>
      <w:proofErr w:type="spellStart"/>
      <w:r>
        <w:rPr>
          <w:rFonts w:cs="Calibri"/>
        </w:rPr>
        <w:t>Arts</w:t>
      </w:r>
      <w:proofErr w:type="spellEnd"/>
      <w:r>
        <w:rPr>
          <w:rFonts w:cs="Calibri"/>
        </w:rPr>
        <w:t xml:space="preserve">. </w:t>
      </w:r>
      <w:r w:rsidR="00B44283">
        <w:rPr>
          <w:rFonts w:cs="Calibri"/>
        </w:rPr>
        <w:t>XX</w:t>
      </w:r>
      <w:r>
        <w:rPr>
          <w:rFonts w:cs="Calibri"/>
        </w:rPr>
        <w:t xml:space="preserve"> inciso </w:t>
      </w:r>
      <w:r w:rsidR="00B44283">
        <w:rPr>
          <w:rFonts w:cs="Calibri"/>
        </w:rPr>
        <w:t>XX</w:t>
      </w:r>
      <w:r>
        <w:rPr>
          <w:rFonts w:cs="Calibri"/>
        </w:rPr>
        <w:t xml:space="preserve"> da Res. N. 017/2018 - Código de Ética e Convivência Discente da UFSM.</w:t>
      </w:r>
    </w:p>
    <w:p w14:paraId="54C84331" w14:textId="083593DD" w:rsidR="00821371" w:rsidRDefault="00F653F5">
      <w:pPr>
        <w:ind w:firstLine="709"/>
        <w:jc w:val="both"/>
        <w:rPr>
          <w:rFonts w:cs="Calibri"/>
        </w:rPr>
      </w:pPr>
      <w:r>
        <w:rPr>
          <w:rFonts w:cs="Calibri"/>
        </w:rPr>
        <w:t xml:space="preserve">Enfim, esta </w:t>
      </w:r>
      <w:r w:rsidR="00F76A0A">
        <w:rPr>
          <w:rFonts w:cs="Calibri"/>
        </w:rPr>
        <w:t>comissão está</w:t>
      </w:r>
      <w:r>
        <w:rPr>
          <w:rFonts w:cs="Calibri"/>
        </w:rPr>
        <w:t xml:space="preserve"> convicta, salvo entendimento contrário, de que o fato é típico e a conduta reprovável; os fatos foram cometidos pelos alunos </w:t>
      </w:r>
      <w:r w:rsidR="00EB7079">
        <w:rPr>
          <w:rFonts w:cs="Calibri"/>
        </w:rPr>
        <w:t>XXXX</w:t>
      </w:r>
      <w:r>
        <w:rPr>
          <w:rFonts w:cs="Calibri"/>
        </w:rPr>
        <w:t xml:space="preserve"> e </w:t>
      </w:r>
      <w:r w:rsidR="00EB7079">
        <w:rPr>
          <w:rFonts w:cs="Calibri"/>
        </w:rPr>
        <w:t>XXXX</w:t>
      </w:r>
      <w:r>
        <w:rPr>
          <w:rFonts w:cs="Calibri"/>
        </w:rPr>
        <w:t>, consideradas as medidas de suas responsabilidades; e, por fim, os enquadramentos e possíveis penalidades estão descritas na Resolução n° 17/2018 – Código de Ética e Convivência Discente da UFSM.</w:t>
      </w:r>
    </w:p>
    <w:p w14:paraId="21C69561" w14:textId="77777777" w:rsidR="00821371" w:rsidRDefault="00821371">
      <w:pPr>
        <w:ind w:firstLine="709"/>
        <w:jc w:val="both"/>
        <w:rPr>
          <w:rFonts w:cs="Calibri"/>
        </w:rPr>
      </w:pPr>
    </w:p>
    <w:p w14:paraId="5A5D7743" w14:textId="77777777" w:rsidR="00821371" w:rsidRDefault="00F72D28">
      <w:pPr>
        <w:ind w:firstLine="709"/>
        <w:jc w:val="both"/>
        <w:rPr>
          <w:rFonts w:cs="Calibri"/>
        </w:rPr>
      </w:pPr>
      <w:r>
        <w:rPr>
          <w:rFonts w:cs="Calibri"/>
          <w:b/>
          <w:bCs/>
        </w:rPr>
        <w:t>3</w:t>
      </w:r>
      <w:r w:rsidR="00F653F5">
        <w:rPr>
          <w:rFonts w:cs="Calibri"/>
          <w:b/>
          <w:bCs/>
        </w:rPr>
        <w:t xml:space="preserve">. DA CONCLUSÃO </w:t>
      </w:r>
    </w:p>
    <w:p w14:paraId="4EB53B0D" w14:textId="77777777" w:rsidR="00821371" w:rsidRDefault="00F653F5">
      <w:pPr>
        <w:ind w:firstLine="708"/>
        <w:jc w:val="both"/>
        <w:rPr>
          <w:rFonts w:cs="Calibri"/>
        </w:rPr>
      </w:pPr>
      <w:r>
        <w:rPr>
          <w:rFonts w:cs="Calibri"/>
        </w:rPr>
        <w:t xml:space="preserve">Por todo o exposto, esta comissão sugere com base no entendimento de que a discente </w:t>
      </w:r>
      <w:r w:rsidR="00EB7079">
        <w:rPr>
          <w:rFonts w:cs="Calibri"/>
        </w:rPr>
        <w:t>XXXX</w:t>
      </w:r>
      <w:r>
        <w:rPr>
          <w:rFonts w:cs="Calibri"/>
        </w:rPr>
        <w:t xml:space="preserve"> foi responsável por praticar ilícitos administrativos previstos no Art. </w:t>
      </w:r>
      <w:r w:rsidR="00B44283">
        <w:rPr>
          <w:rFonts w:cs="Calibri"/>
        </w:rPr>
        <w:t>XX</w:t>
      </w:r>
      <w:r>
        <w:rPr>
          <w:rFonts w:cs="Calibri"/>
        </w:rPr>
        <w:t xml:space="preserve">, inciso </w:t>
      </w:r>
      <w:r w:rsidR="00B44283">
        <w:rPr>
          <w:rFonts w:cs="Calibri"/>
        </w:rPr>
        <w:t>XX</w:t>
      </w:r>
      <w:r>
        <w:rPr>
          <w:rFonts w:cs="Calibri"/>
        </w:rPr>
        <w:t xml:space="preserve"> (</w:t>
      </w:r>
      <w:r w:rsidR="00B44283">
        <w:rPr>
          <w:rFonts w:cs="Calibri"/>
        </w:rPr>
        <w:t>descrever o artigo</w:t>
      </w:r>
      <w:r>
        <w:rPr>
          <w:rFonts w:cs="Calibri"/>
        </w:rPr>
        <w:t xml:space="preserve">), considerada de </w:t>
      </w:r>
      <w:r w:rsidR="00B44283">
        <w:rPr>
          <w:rFonts w:cs="Calibri"/>
        </w:rPr>
        <w:t>XX</w:t>
      </w:r>
      <w:r>
        <w:rPr>
          <w:rFonts w:cs="Calibri"/>
        </w:rPr>
        <w:t xml:space="preserve"> gravidade </w:t>
      </w:r>
      <w:r w:rsidR="00B44283">
        <w:rPr>
          <w:rFonts w:cs="Calibri"/>
        </w:rPr>
        <w:t>pela</w:t>
      </w:r>
      <w:r>
        <w:rPr>
          <w:rFonts w:cs="Calibri"/>
        </w:rPr>
        <w:t xml:space="preserve"> Resolução UFSM n° 17/2018.</w:t>
      </w:r>
    </w:p>
    <w:p w14:paraId="19A74947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  <w:t>Em estrita obediência ao Código de Ética e Convivência Discente, em seu Art. 8°, inciso II e III, que define as possíveis penalidades aplicáveis a cada caso, tem-se que as condutas classificadas como médias são passíveis de advertência ou repreensão e para a ação classificada como grave, penalidade de repreensão ou suspensão de até 45 dias.</w:t>
      </w:r>
    </w:p>
    <w:p w14:paraId="41B2DD51" w14:textId="77777777" w:rsidR="00821371" w:rsidRDefault="00F653F5">
      <w:pPr>
        <w:jc w:val="both"/>
        <w:rPr>
          <w:rFonts w:cs="Calibri"/>
        </w:rPr>
      </w:pPr>
      <w:r>
        <w:rPr>
          <w:rFonts w:cs="Calibri"/>
        </w:rPr>
        <w:tab/>
        <w:t xml:space="preserve">Assim, </w:t>
      </w:r>
      <w:r w:rsidR="00B44283">
        <w:rPr>
          <w:rFonts w:cs="Calibri"/>
        </w:rPr>
        <w:t>recomenda-se à</w:t>
      </w:r>
      <w:r>
        <w:rPr>
          <w:rFonts w:cs="Calibri"/>
        </w:rPr>
        <w:t xml:space="preserve"> discente </w:t>
      </w:r>
      <w:r w:rsidR="00EB7079">
        <w:rPr>
          <w:rFonts w:cs="Calibri"/>
        </w:rPr>
        <w:t>XXX</w:t>
      </w:r>
      <w:r>
        <w:rPr>
          <w:rFonts w:cs="Calibri"/>
        </w:rPr>
        <w:t xml:space="preserve"> (Matrícula n° </w:t>
      </w:r>
      <w:r w:rsidR="00EB7079">
        <w:rPr>
          <w:rFonts w:cs="Calibri"/>
        </w:rPr>
        <w:t>XXXX</w:t>
      </w:r>
      <w:r>
        <w:rPr>
          <w:rFonts w:cs="Calibri"/>
        </w:rPr>
        <w:t xml:space="preserve">), a penalidade de </w:t>
      </w:r>
      <w:r w:rsidR="00B44283">
        <w:rPr>
          <w:rFonts w:cs="Calibri"/>
          <w:b/>
        </w:rPr>
        <w:t>XX</w:t>
      </w:r>
      <w:r>
        <w:rPr>
          <w:rFonts w:cs="Calibri"/>
          <w:b/>
        </w:rPr>
        <w:t xml:space="preserve"> DIAS DE SUSPENSÃO E REPREENSÃO</w:t>
      </w:r>
      <w:r>
        <w:rPr>
          <w:rFonts w:cs="Calibri"/>
        </w:rPr>
        <w:t xml:space="preserve"> formal registrada na ficha de matrícula da aluna. Consideramos que houve a prática </w:t>
      </w:r>
      <w:r w:rsidR="00B44283">
        <w:rPr>
          <w:rFonts w:cs="Calibri"/>
        </w:rPr>
        <w:t>da irregularidade XXX</w:t>
      </w:r>
    </w:p>
    <w:p w14:paraId="05E152EE" w14:textId="77777777" w:rsidR="00B44283" w:rsidRDefault="00B44283">
      <w:pPr>
        <w:jc w:val="both"/>
        <w:rPr>
          <w:rFonts w:cs="Calibri"/>
        </w:rPr>
      </w:pPr>
      <w:r>
        <w:rPr>
          <w:rFonts w:cs="Calibri"/>
        </w:rPr>
        <w:lastRenderedPageBreak/>
        <w:tab/>
        <w:t>Encerrados os trabalhos da comissão, encaminhamos à Autoridade Instauradora para decisão e demais providências.</w:t>
      </w:r>
    </w:p>
    <w:p w14:paraId="633D99EE" w14:textId="109D3E75" w:rsidR="0043086A" w:rsidRDefault="00F653F5">
      <w:pPr>
        <w:jc w:val="both"/>
        <w:rPr>
          <w:rFonts w:cs="Calibri"/>
        </w:rPr>
      </w:pPr>
      <w:r>
        <w:rPr>
          <w:rFonts w:cs="Calibri"/>
        </w:rPr>
        <w:tab/>
      </w:r>
    </w:p>
    <w:p w14:paraId="4D473D1D" w14:textId="77777777" w:rsidR="0043086A" w:rsidRDefault="0043086A">
      <w:pPr>
        <w:jc w:val="both"/>
        <w:rPr>
          <w:rFonts w:cs="Calibri"/>
        </w:rPr>
      </w:pPr>
    </w:p>
    <w:p w14:paraId="410072D4" w14:textId="77777777" w:rsidR="00821371" w:rsidRDefault="00F72D28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4</w:t>
      </w:r>
      <w:r w:rsidR="00F653F5">
        <w:rPr>
          <w:rFonts w:cs="Calibri"/>
          <w:b/>
          <w:bCs/>
        </w:rPr>
        <w:t>. DO ENCAMINHAMENTO À AUTORIDADE INSTAURADORA</w:t>
      </w:r>
    </w:p>
    <w:p w14:paraId="4941FB11" w14:textId="77777777" w:rsidR="00821371" w:rsidRDefault="00F653F5" w:rsidP="00F72D28">
      <w:pPr>
        <w:ind w:firstLine="708"/>
        <w:jc w:val="both"/>
      </w:pPr>
      <w:r>
        <w:rPr>
          <w:rFonts w:cs="Calibri"/>
        </w:rPr>
        <w:t xml:space="preserve"> Encerrados os trabalhos, a Comissão de</w:t>
      </w:r>
      <w:r w:rsidR="00676165">
        <w:rPr>
          <w:rFonts w:cs="Calibri"/>
        </w:rPr>
        <w:t xml:space="preserve"> Processo Disciplinar Discente</w:t>
      </w:r>
      <w:r>
        <w:rPr>
          <w:rFonts w:cs="Calibri"/>
        </w:rPr>
        <w:t xml:space="preserve"> submete os autos do presente processo à apreciação da autoridade instauradora, nos termos do art. 16</w:t>
      </w:r>
      <w:r w:rsidR="00676165">
        <w:rPr>
          <w:rFonts w:cs="Calibri"/>
        </w:rPr>
        <w:t>, §6°</w:t>
      </w:r>
      <w:r>
        <w:rPr>
          <w:rFonts w:cs="Calibri"/>
        </w:rPr>
        <w:t xml:space="preserve"> da </w:t>
      </w:r>
      <w:r w:rsidR="00676165">
        <w:rPr>
          <w:rFonts w:cs="Calibri"/>
        </w:rPr>
        <w:t>Resolução UFSM n° 17/2018.</w:t>
      </w:r>
      <w:r>
        <w:rPr>
          <w:rFonts w:cs="Calibri"/>
        </w:rPr>
        <w:t xml:space="preserve"> </w:t>
      </w:r>
      <w:r w:rsidR="00A447E0" w:rsidRPr="00A447E0">
        <w:rPr>
          <w:rFonts w:cs="Calibri"/>
        </w:rPr>
        <w:t xml:space="preserve">Este documento é parte do processo n° </w:t>
      </w:r>
      <w:r w:rsidR="0043086A">
        <w:rPr>
          <w:rFonts w:cs="Calibri"/>
        </w:rPr>
        <w:t>XXXX</w:t>
      </w:r>
      <w:r w:rsidR="00A447E0" w:rsidRPr="00A447E0">
        <w:t xml:space="preserve"> e segue assinado pela Comissão Designada.</w:t>
      </w:r>
    </w:p>
    <w:p w14:paraId="0349A308" w14:textId="77777777" w:rsidR="00A447E0" w:rsidRPr="00A447E0" w:rsidRDefault="00A447E0">
      <w:pPr>
        <w:jc w:val="both"/>
        <w:rPr>
          <w:rFonts w:cs="Calibri"/>
          <w:color w:val="00B050"/>
        </w:rPr>
      </w:pPr>
    </w:p>
    <w:p w14:paraId="3B0013F1" w14:textId="77777777" w:rsidR="00821371" w:rsidRDefault="00A447E0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Santa Maria, de setembro de 2024.</w:t>
      </w:r>
    </w:p>
    <w:p w14:paraId="0D09DA93" w14:textId="77777777" w:rsidR="00E402B3" w:rsidRDefault="00E402B3">
      <w:pPr>
        <w:jc w:val="both"/>
        <w:rPr>
          <w:rFonts w:cs="Calibri"/>
        </w:rPr>
      </w:pPr>
    </w:p>
    <w:p w14:paraId="4E12F199" w14:textId="77777777" w:rsidR="00E402B3" w:rsidRDefault="00E402B3">
      <w:pPr>
        <w:jc w:val="both"/>
        <w:rPr>
          <w:rFonts w:cs="Calibri"/>
        </w:rPr>
      </w:pPr>
    </w:p>
    <w:p w14:paraId="47CB5D43" w14:textId="77777777" w:rsidR="00E402B3" w:rsidRDefault="00E402B3">
      <w:pPr>
        <w:jc w:val="both"/>
        <w:rPr>
          <w:rFonts w:cs="Calibri"/>
        </w:rPr>
      </w:pPr>
    </w:p>
    <w:p w14:paraId="5FC5B5A5" w14:textId="77777777" w:rsidR="00676165" w:rsidRDefault="00676165">
      <w:pPr>
        <w:jc w:val="both"/>
        <w:rPr>
          <w:rFonts w:cs="Calibri"/>
        </w:rPr>
      </w:pPr>
    </w:p>
    <w:sectPr w:rsidR="00676165" w:rsidSect="00F76A0A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0AAF" w14:textId="77777777" w:rsidR="000B03E1" w:rsidRDefault="000B03E1">
      <w:pPr>
        <w:spacing w:after="0" w:line="240" w:lineRule="auto"/>
      </w:pPr>
      <w:r>
        <w:separator/>
      </w:r>
    </w:p>
  </w:endnote>
  <w:endnote w:type="continuationSeparator" w:id="0">
    <w:p w14:paraId="0B815237" w14:textId="77777777" w:rsidR="000B03E1" w:rsidRDefault="000B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55EF" w14:textId="77777777" w:rsidR="000B03E1" w:rsidRDefault="000B03E1">
      <w:pPr>
        <w:spacing w:after="0" w:line="240" w:lineRule="auto"/>
      </w:pPr>
      <w:r>
        <w:separator/>
      </w:r>
    </w:p>
  </w:footnote>
  <w:footnote w:type="continuationSeparator" w:id="0">
    <w:p w14:paraId="595CBC22" w14:textId="77777777" w:rsidR="000B03E1" w:rsidRDefault="000B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AD33" w14:textId="18BE4273" w:rsidR="00F76A0A" w:rsidRPr="00F76A0A" w:rsidRDefault="00F76A0A" w:rsidP="00F76A0A">
    <w:pPr>
      <w:ind w:right="565"/>
      <w:jc w:val="both"/>
      <w:rPr>
        <w:rFonts w:ascii="Cambria" w:hAnsi="Cambria"/>
      </w:rPr>
    </w:pPr>
    <w:r w:rsidRPr="00F76A0A">
      <w:rPr>
        <w:rFonts w:ascii="Cambria" w:hAnsi="Cambria"/>
        <w:noProof/>
      </w:rPr>
      <w:drawing>
        <wp:anchor distT="0" distB="0" distL="114300" distR="114300" simplePos="0" relativeHeight="251659264" behindDoc="1" locked="0" layoutInCell="1" allowOverlap="1" wp14:anchorId="3B100AD7" wp14:editId="5607FB9C">
          <wp:simplePos x="0" y="0"/>
          <wp:positionH relativeFrom="column">
            <wp:posOffset>2301240</wp:posOffset>
          </wp:positionH>
          <wp:positionV relativeFrom="paragraph">
            <wp:posOffset>83820</wp:posOffset>
          </wp:positionV>
          <wp:extent cx="664210" cy="658495"/>
          <wp:effectExtent l="0" t="0" r="2540" b="8255"/>
          <wp:wrapThrough wrapText="bothSides">
            <wp:wrapPolygon edited="0">
              <wp:start x="0" y="0"/>
              <wp:lineTo x="0" y="21246"/>
              <wp:lineTo x="21063" y="21246"/>
              <wp:lineTo x="21063" y="0"/>
              <wp:lineTo x="0" y="0"/>
            </wp:wrapPolygon>
          </wp:wrapThrough>
          <wp:docPr id="2065175442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75442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D6839" w14:textId="77777777" w:rsidR="00F76A0A" w:rsidRPr="00F76A0A" w:rsidRDefault="00F76A0A" w:rsidP="00F76A0A">
    <w:pPr>
      <w:keepNext/>
      <w:numPr>
        <w:ilvl w:val="7"/>
        <w:numId w:val="3"/>
      </w:numPr>
      <w:tabs>
        <w:tab w:val="left" w:pos="0"/>
      </w:tabs>
      <w:suppressAutoHyphens/>
      <w:autoSpaceDE w:val="0"/>
      <w:spacing w:after="120" w:line="276" w:lineRule="auto"/>
      <w:ind w:right="565" w:firstLine="709"/>
      <w:jc w:val="both"/>
      <w:outlineLvl w:val="7"/>
      <w:rPr>
        <w:rFonts w:ascii="Cambria" w:eastAsia="Times New Roman" w:hAnsi="Cambria"/>
        <w:b/>
        <w:bCs/>
        <w:lang w:eastAsia="ar-SA"/>
      </w:rPr>
    </w:pPr>
  </w:p>
  <w:p w14:paraId="386445B9" w14:textId="77777777" w:rsidR="00F76A0A" w:rsidRPr="00F76A0A" w:rsidRDefault="00F76A0A" w:rsidP="00F76A0A">
    <w:pPr>
      <w:ind w:right="565"/>
      <w:jc w:val="center"/>
    </w:pPr>
  </w:p>
  <w:p w14:paraId="79D39D13" w14:textId="77777777" w:rsidR="00F76A0A" w:rsidRPr="00F76A0A" w:rsidRDefault="00F76A0A" w:rsidP="00F76A0A">
    <w:pPr>
      <w:widowControl w:val="0"/>
      <w:autoSpaceDE w:val="0"/>
      <w:autoSpaceDN w:val="0"/>
      <w:spacing w:before="20" w:after="0" w:line="240" w:lineRule="auto"/>
      <w:ind w:left="1254" w:right="1252" w:firstLine="2"/>
      <w:jc w:val="center"/>
      <w:rPr>
        <w:rFonts w:ascii="Times New Roman" w:eastAsia="Cambria" w:hAnsi="Times New Roman" w:cs="Cambria"/>
        <w:spacing w:val="40"/>
        <w:lang w:val="pt-PT"/>
      </w:rPr>
    </w:pPr>
    <w:r w:rsidRPr="00F76A0A">
      <w:rPr>
        <w:rFonts w:ascii="Cambria" w:eastAsia="Cambria" w:hAnsi="Cambria" w:cs="Cambria"/>
        <w:b/>
        <w:lang w:val="pt-PT"/>
      </w:rPr>
      <w:t>MINISTÉRIO</w:t>
    </w:r>
    <w:r w:rsidRPr="00F76A0A">
      <w:rPr>
        <w:rFonts w:ascii="Times New Roman" w:eastAsia="Cambria" w:hAnsi="Times New Roman" w:cs="Cambria"/>
        <w:lang w:val="pt-PT"/>
      </w:rPr>
      <w:t xml:space="preserve"> </w:t>
    </w:r>
    <w:r w:rsidRPr="00F76A0A">
      <w:rPr>
        <w:rFonts w:ascii="Cambria" w:eastAsia="Cambria" w:hAnsi="Cambria" w:cs="Cambria"/>
        <w:b/>
        <w:lang w:val="pt-PT"/>
      </w:rPr>
      <w:t>DA</w:t>
    </w:r>
    <w:r w:rsidRPr="00F76A0A">
      <w:rPr>
        <w:rFonts w:ascii="Times New Roman" w:eastAsia="Cambria" w:hAnsi="Times New Roman" w:cs="Cambria"/>
        <w:lang w:val="pt-PT"/>
      </w:rPr>
      <w:t xml:space="preserve"> </w:t>
    </w:r>
    <w:r w:rsidRPr="00F76A0A">
      <w:rPr>
        <w:rFonts w:ascii="Cambria" w:eastAsia="Cambria" w:hAnsi="Cambria" w:cs="Cambria"/>
        <w:b/>
        <w:lang w:val="pt-PT"/>
      </w:rPr>
      <w:t>EDUCAÇÃO</w:t>
    </w:r>
    <w:r w:rsidRPr="00F76A0A">
      <w:rPr>
        <w:rFonts w:ascii="Times New Roman" w:eastAsia="Cambria" w:hAnsi="Times New Roman" w:cs="Cambria"/>
        <w:spacing w:val="40"/>
        <w:lang w:val="pt-PT"/>
      </w:rPr>
      <w:t xml:space="preserve"> </w:t>
    </w:r>
  </w:p>
  <w:p w14:paraId="463DDE0F" w14:textId="77777777" w:rsidR="00F76A0A" w:rsidRPr="00F76A0A" w:rsidRDefault="00F76A0A" w:rsidP="00F76A0A">
    <w:pPr>
      <w:widowControl w:val="0"/>
      <w:autoSpaceDE w:val="0"/>
      <w:autoSpaceDN w:val="0"/>
      <w:spacing w:before="20" w:after="0" w:line="240" w:lineRule="auto"/>
      <w:ind w:left="1254" w:right="1252" w:firstLine="2"/>
      <w:jc w:val="center"/>
      <w:rPr>
        <w:rFonts w:ascii="Cambria" w:eastAsia="Cambria" w:hAnsi="Cambria" w:cs="Cambria"/>
        <w:b/>
        <w:lang w:val="pt-PT"/>
      </w:rPr>
    </w:pPr>
    <w:r w:rsidRPr="00F76A0A">
      <w:rPr>
        <w:rFonts w:ascii="Cambria" w:eastAsia="Cambria" w:hAnsi="Cambria" w:cs="Cambria"/>
        <w:b/>
        <w:lang w:val="pt-PT"/>
      </w:rPr>
      <w:t>UNIVERSIDADE</w:t>
    </w:r>
    <w:r w:rsidRPr="00F76A0A">
      <w:rPr>
        <w:rFonts w:ascii="Times New Roman" w:eastAsia="Cambria" w:hAnsi="Times New Roman" w:cs="Cambria"/>
        <w:spacing w:val="-14"/>
        <w:lang w:val="pt-PT"/>
      </w:rPr>
      <w:t xml:space="preserve"> </w:t>
    </w:r>
    <w:r w:rsidRPr="00F76A0A">
      <w:rPr>
        <w:rFonts w:ascii="Cambria" w:eastAsia="Cambria" w:hAnsi="Cambria" w:cs="Cambria"/>
        <w:b/>
        <w:lang w:val="pt-PT"/>
      </w:rPr>
      <w:t>FEDERAL</w:t>
    </w:r>
    <w:r w:rsidRPr="00F76A0A">
      <w:rPr>
        <w:rFonts w:ascii="Times New Roman" w:eastAsia="Cambria" w:hAnsi="Times New Roman" w:cs="Cambria"/>
        <w:spacing w:val="-14"/>
        <w:lang w:val="pt-PT"/>
      </w:rPr>
      <w:t xml:space="preserve"> </w:t>
    </w:r>
    <w:r w:rsidRPr="00F76A0A">
      <w:rPr>
        <w:rFonts w:ascii="Cambria" w:eastAsia="Cambria" w:hAnsi="Cambria" w:cs="Cambria"/>
        <w:b/>
        <w:lang w:val="pt-PT"/>
      </w:rPr>
      <w:t>DE</w:t>
    </w:r>
    <w:r w:rsidRPr="00F76A0A">
      <w:rPr>
        <w:rFonts w:ascii="Times New Roman" w:eastAsia="Cambria" w:hAnsi="Times New Roman" w:cs="Cambria"/>
        <w:spacing w:val="-14"/>
        <w:lang w:val="pt-PT"/>
      </w:rPr>
      <w:t xml:space="preserve"> </w:t>
    </w:r>
    <w:r w:rsidRPr="00F76A0A">
      <w:rPr>
        <w:rFonts w:ascii="Cambria" w:eastAsia="Cambria" w:hAnsi="Cambria" w:cs="Cambria"/>
        <w:b/>
        <w:lang w:val="pt-PT"/>
      </w:rPr>
      <w:t>SANTA</w:t>
    </w:r>
    <w:r w:rsidRPr="00F76A0A">
      <w:rPr>
        <w:rFonts w:ascii="Times New Roman" w:eastAsia="Cambria" w:hAnsi="Times New Roman" w:cs="Cambria"/>
        <w:spacing w:val="-13"/>
        <w:lang w:val="pt-PT"/>
      </w:rPr>
      <w:t xml:space="preserve"> </w:t>
    </w:r>
    <w:r w:rsidRPr="00F76A0A">
      <w:rPr>
        <w:rFonts w:ascii="Cambria" w:eastAsia="Cambria" w:hAnsi="Cambria" w:cs="Cambria"/>
        <w:b/>
        <w:lang w:val="pt-PT"/>
      </w:rPr>
      <w:t>MARIA</w:t>
    </w:r>
  </w:p>
  <w:p w14:paraId="4E7CBE8A" w14:textId="77777777" w:rsidR="00F76A0A" w:rsidRPr="00F76A0A" w:rsidRDefault="00F76A0A" w:rsidP="00F76A0A">
    <w:pPr>
      <w:widowControl w:val="0"/>
      <w:autoSpaceDE w:val="0"/>
      <w:autoSpaceDN w:val="0"/>
      <w:spacing w:after="0" w:line="256" w:lineRule="exact"/>
      <w:ind w:left="2" w:right="2"/>
      <w:jc w:val="center"/>
      <w:rPr>
        <w:rFonts w:ascii="Cambria" w:eastAsia="Cambria" w:hAnsi="Cambria" w:cs="Cambria"/>
        <w:b/>
        <w:lang w:val="pt-PT"/>
      </w:rPr>
    </w:pPr>
    <w:r w:rsidRPr="00F76A0A">
      <w:rPr>
        <w:rFonts w:ascii="Cambria" w:eastAsia="Cambria" w:hAnsi="Cambria" w:cs="Cambria"/>
        <w:b/>
        <w:spacing w:val="-2"/>
        <w:lang w:val="pt-PT"/>
      </w:rPr>
      <w:t>COMISSÃO</w:t>
    </w:r>
    <w:r w:rsidRPr="00F76A0A">
      <w:rPr>
        <w:rFonts w:ascii="Times New Roman" w:eastAsia="Cambria" w:hAnsi="Times New Roman" w:cs="Cambria"/>
        <w:spacing w:val="-3"/>
        <w:lang w:val="pt-PT"/>
      </w:rPr>
      <w:t xml:space="preserve"> </w:t>
    </w:r>
    <w:r w:rsidRPr="00F76A0A">
      <w:rPr>
        <w:rFonts w:ascii="Cambria" w:eastAsia="Cambria" w:hAnsi="Cambria" w:cs="Cambria"/>
        <w:b/>
        <w:spacing w:val="-2"/>
        <w:lang w:val="pt-PT"/>
      </w:rPr>
      <w:t>DE</w:t>
    </w:r>
    <w:r w:rsidRPr="00F76A0A">
      <w:rPr>
        <w:rFonts w:ascii="Times New Roman" w:eastAsia="Cambria" w:hAnsi="Times New Roman" w:cs="Cambria"/>
        <w:spacing w:val="4"/>
        <w:lang w:val="pt-PT"/>
      </w:rPr>
      <w:t xml:space="preserve"> </w:t>
    </w:r>
    <w:r w:rsidRPr="00F76A0A">
      <w:rPr>
        <w:rFonts w:ascii="Cambria" w:eastAsia="Cambria" w:hAnsi="Cambria" w:cs="Cambria"/>
        <w:b/>
        <w:spacing w:val="-2"/>
        <w:lang w:val="pt-PT"/>
      </w:rPr>
      <w:t>PROCESSO</w:t>
    </w:r>
    <w:r w:rsidRPr="00F76A0A">
      <w:rPr>
        <w:rFonts w:ascii="Times New Roman" w:eastAsia="Cambria" w:hAnsi="Times New Roman" w:cs="Cambria"/>
        <w:spacing w:val="3"/>
        <w:lang w:val="pt-PT"/>
      </w:rPr>
      <w:t xml:space="preserve"> </w:t>
    </w:r>
    <w:r w:rsidRPr="00F76A0A">
      <w:rPr>
        <w:rFonts w:ascii="Cambria" w:eastAsia="Cambria" w:hAnsi="Cambria" w:cs="Cambria"/>
        <w:b/>
        <w:spacing w:val="-2"/>
        <w:lang w:val="pt-PT"/>
      </w:rPr>
      <w:t>ADMINISTRATIVO</w:t>
    </w:r>
    <w:r w:rsidRPr="00F76A0A">
      <w:rPr>
        <w:rFonts w:ascii="Times New Roman" w:eastAsia="Cambria" w:hAnsi="Times New Roman" w:cs="Cambria"/>
        <w:spacing w:val="3"/>
        <w:lang w:val="pt-PT"/>
      </w:rPr>
      <w:t xml:space="preserve"> </w:t>
    </w:r>
    <w:r w:rsidRPr="00F76A0A">
      <w:rPr>
        <w:rFonts w:ascii="Cambria" w:eastAsia="Cambria" w:hAnsi="Cambria" w:cs="Cambria"/>
        <w:b/>
        <w:spacing w:val="-2"/>
        <w:lang w:val="pt-PT"/>
      </w:rPr>
      <w:t>DISCIPLINAR</w:t>
    </w:r>
    <w:r w:rsidRPr="00F76A0A">
      <w:rPr>
        <w:rFonts w:ascii="Times New Roman" w:eastAsia="Cambria" w:hAnsi="Times New Roman" w:cs="Cambria"/>
        <w:spacing w:val="4"/>
        <w:lang w:val="pt-PT"/>
      </w:rPr>
      <w:t xml:space="preserve"> </w:t>
    </w:r>
    <w:r w:rsidRPr="00F76A0A">
      <w:rPr>
        <w:rFonts w:ascii="Cambria" w:eastAsia="Cambria" w:hAnsi="Cambria" w:cs="Cambria"/>
        <w:b/>
        <w:spacing w:val="-2"/>
        <w:lang w:val="pt-PT"/>
      </w:rPr>
      <w:t>DISCENTE</w:t>
    </w:r>
  </w:p>
  <w:p w14:paraId="22A68CDA" w14:textId="77777777" w:rsidR="00F76A0A" w:rsidRPr="00F76A0A" w:rsidRDefault="00F76A0A" w:rsidP="00F76A0A">
    <w:pPr>
      <w:widowControl w:val="0"/>
      <w:autoSpaceDE w:val="0"/>
      <w:autoSpaceDN w:val="0"/>
      <w:spacing w:before="2" w:after="0" w:line="240" w:lineRule="auto"/>
      <w:ind w:right="2"/>
      <w:jc w:val="center"/>
      <w:rPr>
        <w:rFonts w:ascii="Cambria" w:eastAsia="Cambria" w:hAnsi="Cambria" w:cs="Cambria"/>
        <w:b/>
        <w:sz w:val="20"/>
        <w:lang w:val="pt-PT"/>
      </w:rPr>
    </w:pPr>
    <w:r w:rsidRPr="00F76A0A">
      <w:rPr>
        <w:rFonts w:ascii="Cambria" w:eastAsia="Cambria" w:hAnsi="Cambria" w:cs="Cambria"/>
        <w:b/>
        <w:spacing w:val="-2"/>
        <w:sz w:val="20"/>
        <w:lang w:val="pt-PT"/>
      </w:rPr>
      <w:t>Processo</w:t>
    </w:r>
    <w:r w:rsidRPr="00F76A0A">
      <w:rPr>
        <w:rFonts w:ascii="Times New Roman" w:eastAsia="Cambria" w:hAnsi="Cambria" w:cs="Cambria"/>
        <w:sz w:val="20"/>
        <w:lang w:val="pt-PT"/>
      </w:rPr>
      <w:t xml:space="preserve"> </w:t>
    </w:r>
    <w:r w:rsidRPr="00F76A0A">
      <w:rPr>
        <w:rFonts w:ascii="Cambria" w:eastAsia="Cambria" w:hAnsi="Cambria" w:cs="Cambria"/>
        <w:b/>
        <w:spacing w:val="-2"/>
        <w:sz w:val="20"/>
        <w:lang w:val="pt-PT"/>
      </w:rPr>
      <w:t>23081.000000/0000-00,</w:t>
    </w:r>
    <w:r w:rsidRPr="00F76A0A">
      <w:rPr>
        <w:rFonts w:ascii="Times New Roman" w:eastAsia="Cambria" w:hAnsi="Cambria" w:cs="Cambria"/>
        <w:spacing w:val="1"/>
        <w:sz w:val="20"/>
        <w:lang w:val="pt-PT"/>
      </w:rPr>
      <w:t xml:space="preserve"> </w:t>
    </w:r>
    <w:r w:rsidRPr="00F76A0A">
      <w:rPr>
        <w:rFonts w:ascii="Cambria" w:eastAsia="Cambria" w:hAnsi="Cambria" w:cs="Cambria"/>
        <w:b/>
        <w:spacing w:val="-2"/>
        <w:sz w:val="20"/>
        <w:lang w:val="pt-PT"/>
      </w:rPr>
      <w:t>Portaria</w:t>
    </w:r>
    <w:r w:rsidRPr="00F76A0A">
      <w:rPr>
        <w:rFonts w:ascii="Times New Roman" w:eastAsia="Cambria" w:hAnsi="Cambria" w:cs="Cambria"/>
        <w:spacing w:val="1"/>
        <w:sz w:val="20"/>
        <w:lang w:val="pt-PT"/>
      </w:rPr>
      <w:t xml:space="preserve"> </w:t>
    </w:r>
    <w:r w:rsidRPr="00F76A0A">
      <w:rPr>
        <w:rFonts w:ascii="Cambria" w:eastAsia="Cambria" w:hAnsi="Cambria" w:cs="Cambria"/>
        <w:b/>
        <w:spacing w:val="-2"/>
        <w:sz w:val="20"/>
        <w:lang w:val="pt-PT"/>
      </w:rPr>
      <w:t>00.000,</w:t>
    </w:r>
    <w:r w:rsidRPr="00F76A0A">
      <w:rPr>
        <w:rFonts w:ascii="Times New Roman" w:eastAsia="Cambria" w:hAnsi="Cambria" w:cs="Cambria"/>
        <w:spacing w:val="-1"/>
        <w:sz w:val="20"/>
        <w:lang w:val="pt-PT"/>
      </w:rPr>
      <w:t xml:space="preserve"> </w:t>
    </w:r>
    <w:r w:rsidRPr="00F76A0A">
      <w:rPr>
        <w:rFonts w:ascii="Cambria" w:eastAsia="Cambria" w:hAnsi="Cambria" w:cs="Cambria"/>
        <w:b/>
        <w:spacing w:val="-2"/>
        <w:sz w:val="20"/>
        <w:lang w:val="pt-PT"/>
      </w:rPr>
      <w:t>de</w:t>
    </w:r>
    <w:r w:rsidRPr="00F76A0A">
      <w:rPr>
        <w:rFonts w:ascii="Times New Roman" w:eastAsia="Cambria" w:hAnsi="Cambria" w:cs="Cambria"/>
        <w:sz w:val="20"/>
        <w:lang w:val="pt-PT"/>
      </w:rPr>
      <w:t xml:space="preserve"> </w:t>
    </w:r>
    <w:r w:rsidRPr="00F76A0A">
      <w:rPr>
        <w:rFonts w:ascii="Cambria" w:eastAsia="Cambria" w:hAnsi="Cambria" w:cs="Cambria"/>
        <w:b/>
        <w:spacing w:val="-2"/>
        <w:sz w:val="20"/>
        <w:lang w:val="pt-PT"/>
      </w:rPr>
      <w:t>00/00/2025</w:t>
    </w:r>
  </w:p>
  <w:p w14:paraId="4B144679" w14:textId="2706AA43" w:rsidR="00821371" w:rsidRDefault="00821371">
    <w:pPr>
      <w:ind w:right="565"/>
      <w:jc w:val="both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62172"/>
    <w:multiLevelType w:val="hybridMultilevel"/>
    <w:tmpl w:val="A33498E2"/>
    <w:lvl w:ilvl="0" w:tplc="98F46F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50A01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56C25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F1C45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D84B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784BD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A6068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78F0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AC2F4E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937EAD"/>
    <w:multiLevelType w:val="hybridMultilevel"/>
    <w:tmpl w:val="2D00D096"/>
    <w:lvl w:ilvl="0" w:tplc="C9FC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ED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2C0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8B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E48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E97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4F1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4D9F8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C25271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572334">
    <w:abstractNumId w:val="2"/>
  </w:num>
  <w:num w:numId="2" w16cid:durableId="2111393612">
    <w:abstractNumId w:val="1"/>
  </w:num>
  <w:num w:numId="3" w16cid:durableId="51434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71"/>
    <w:rsid w:val="000B03E1"/>
    <w:rsid w:val="001103DC"/>
    <w:rsid w:val="00184F1D"/>
    <w:rsid w:val="00200C48"/>
    <w:rsid w:val="002C0FF3"/>
    <w:rsid w:val="002F713A"/>
    <w:rsid w:val="0043086A"/>
    <w:rsid w:val="00676165"/>
    <w:rsid w:val="00680144"/>
    <w:rsid w:val="006820C9"/>
    <w:rsid w:val="006E2E8E"/>
    <w:rsid w:val="007C31B1"/>
    <w:rsid w:val="007D6DDE"/>
    <w:rsid w:val="00821371"/>
    <w:rsid w:val="00A447E0"/>
    <w:rsid w:val="00AE3A32"/>
    <w:rsid w:val="00B11896"/>
    <w:rsid w:val="00B44283"/>
    <w:rsid w:val="00B45510"/>
    <w:rsid w:val="00C12EC7"/>
    <w:rsid w:val="00E402B3"/>
    <w:rsid w:val="00EB7079"/>
    <w:rsid w:val="00F448B8"/>
    <w:rsid w:val="00F653F5"/>
    <w:rsid w:val="00F72D28"/>
    <w:rsid w:val="00F7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1A8F1"/>
  <w15:docId w15:val="{9185FA21-8514-45E2-A1A5-6226B314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tulo8Char">
    <w:name w:val="Título 8 Char"/>
    <w:link w:val="Ttulo8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notadefimChar">
    <w:name w:val="Texto de nota de fim Char"/>
    <w:link w:val="Textodenotadefim"/>
    <w:uiPriority w:val="99"/>
    <w:semiHidden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Cotta</dc:creator>
  <cp:lastModifiedBy>Simone Baptista</cp:lastModifiedBy>
  <cp:revision>3</cp:revision>
  <dcterms:created xsi:type="dcterms:W3CDTF">2025-09-10T23:24:00Z</dcterms:created>
  <dcterms:modified xsi:type="dcterms:W3CDTF">2025-09-10T23:24:00Z</dcterms:modified>
  <cp:version>1048576</cp:version>
</cp:coreProperties>
</file>