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REUNIÃO 1 SADEP – 12/03/2017</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Presentes: </w:t>
      </w:r>
      <w:r w:rsidDel="00000000" w:rsidR="00000000" w:rsidRPr="00000000">
        <w:rPr>
          <w:rFonts w:ascii="Times New Roman" w:cs="Times New Roman" w:eastAsia="Times New Roman" w:hAnsi="Times New Roman"/>
          <w:sz w:val="24"/>
          <w:szCs w:val="24"/>
          <w:rtl w:val="0"/>
        </w:rPr>
        <w:t xml:space="preserve">Bianca, Bruna, Fabiana, João, Júlio, Pedro e Tales</w:t>
      </w:r>
    </w: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Patrocínios: </w:t>
      </w:r>
      <w:r w:rsidDel="00000000" w:rsidR="00000000" w:rsidRPr="00000000">
        <w:rPr>
          <w:rFonts w:ascii="Times New Roman" w:cs="Times New Roman" w:eastAsia="Times New Roman" w:hAnsi="Times New Roman"/>
          <w:sz w:val="24"/>
          <w:szCs w:val="24"/>
          <w:rtl w:val="0"/>
        </w:rPr>
        <w:t xml:space="preserve">serão divididos em categorias (tabela abaixo) para que a abordagem às empresas sejam mais efetivas. Será montado uma planilha com possíveis empresas a serem abordadas e respectivos status para que todos os membros possam ter acesso e controle sobre o que já foi feito. </w:t>
      </w:r>
    </w:p>
    <w:tbl>
      <w:tblPr>
        <w:tblStyle w:val="Table1"/>
        <w:bidiVisual w:val="0"/>
        <w:tblW w:w="849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2977"/>
        <w:gridCol w:w="2970"/>
        <w:tblGridChange w:id="0">
          <w:tblGrid>
            <w:gridCol w:w="2547"/>
            <w:gridCol w:w="2977"/>
            <w:gridCol w:w="2970"/>
          </w:tblGrid>
        </w:tblGridChange>
      </w:tblGrid>
      <w:tr>
        <w:tc>
          <w:tcPr/>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OURO (R$ 500 +)</w:t>
            </w:r>
          </w:p>
        </w:tc>
        <w:tc>
          <w:tcPr/>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PRATA (R$ 300 – R$ 500)</w:t>
            </w:r>
          </w:p>
        </w:tc>
        <w:tc>
          <w:tcPr/>
          <w:p w:rsidR="00000000" w:rsidDel="00000000" w:rsidP="00000000" w:rsidRDefault="00000000" w:rsidRPr="00000000">
            <w:pPr>
              <w:pBd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BRONZE (R$ 100 – R$ 300)</w:t>
            </w:r>
          </w:p>
        </w:tc>
      </w:tr>
      <w:tr>
        <w:tc>
          <w:tcPr/>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Divulgação da empresa como grande apoiadora do evento</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Divulgação da empresa na página do DACEP</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Logo da empresa na frente da camiseta da SADEP (grande)</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Abertura de espaço de fala de até 15 minutos para que a empresa se autopromova na SADEP</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Banner da empresa no dia do evento</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Parceria para </w:t>
            </w:r>
            <w:r w:rsidDel="00000000" w:rsidR="00000000" w:rsidRPr="00000000">
              <w:rPr>
                <w:rFonts w:ascii="Times New Roman" w:cs="Times New Roman" w:eastAsia="Times New Roman" w:hAnsi="Times New Roman"/>
                <w:i w:val="1"/>
                <w:rtl w:val="0"/>
              </w:rPr>
              <w:t xml:space="preserve">promoshare</w:t>
            </w: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Divulgação da empresa na página do DACEP</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Logo da empresa nas costas da camiseta da SADEP (médio)</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Banner da empresa no dia do evento</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Divulgação da empresa na página do DACEP</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Logo da empresa nas costas da camiseta da SADEP (pequeno)</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foco na busca de patrocínios será nos seguintes ramos de empreendimentos: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cursos (idiomas e outros) – Bianca, Bruna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imobiliárias – Julio,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alimentação -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papelarias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bancos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festas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gráficas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É necessário levar o ofício solicitando patrocínio nas empresas pra que seja formalizado.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Caso haja possibilidade de permuta de serviços (ex.: gráfica ceder material para realização do evento como bloquinhos, canetas, etc.) estas deverão se encaixarão na tabela acima de acordo com os valores abatidos na permuta.</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Meta para levantar patrocínios: </w:t>
      </w:r>
      <w:r w:rsidDel="00000000" w:rsidR="00000000" w:rsidRPr="00000000">
        <w:rPr>
          <w:rFonts w:ascii="Times New Roman" w:cs="Times New Roman" w:eastAsia="Times New Roman" w:hAnsi="Times New Roman"/>
          <w:b w:val="1"/>
          <w:sz w:val="24"/>
          <w:szCs w:val="24"/>
          <w:rtl w:val="0"/>
        </w:rPr>
        <w:t xml:space="preserve">fim de março</w:t>
      </w:r>
      <w:r w:rsidDel="00000000" w:rsidR="00000000" w:rsidRPr="00000000">
        <w:rPr>
          <w:rFonts w:ascii="Times New Roman" w:cs="Times New Roman" w:eastAsia="Times New Roman" w:hAnsi="Times New Roman"/>
          <w:sz w:val="24"/>
          <w:szCs w:val="24"/>
          <w:rtl w:val="0"/>
        </w:rPr>
        <w:t xml:space="preserve">. Responsabilidade de </w:t>
      </w:r>
      <w:r w:rsidDel="00000000" w:rsidR="00000000" w:rsidRPr="00000000">
        <w:rPr>
          <w:rFonts w:ascii="Times New Roman" w:cs="Times New Roman" w:eastAsia="Times New Roman" w:hAnsi="Times New Roman"/>
          <w:b w:val="1"/>
          <w:sz w:val="24"/>
          <w:szCs w:val="24"/>
          <w:rtl w:val="0"/>
        </w:rPr>
        <w:t xml:space="preserve">todos os membros</w:t>
      </w:r>
      <w:r w:rsidDel="00000000" w:rsidR="00000000" w:rsidRPr="00000000">
        <w:rPr>
          <w:rFonts w:ascii="Times New Roman" w:cs="Times New Roman" w:eastAsia="Times New Roman" w:hAnsi="Times New Roman"/>
          <w:sz w:val="24"/>
          <w:szCs w:val="24"/>
          <w:rtl w:val="0"/>
        </w:rPr>
        <w:t xml:space="preserve"> do DACEP.</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 Júlio ficou responsável por levantar os custos da SADEP passada pra que seja feita uma estimativa da verba necessária (planilha no drive).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Será solicitada verba à coordenação do curso (Sarah marcou de falar com o Battesini).</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Verificar se o CT não possui material gráfico para fornecer (pastas, etc.), ou Banco do Brasil e outras instituições.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Programação/conteúdo: </w:t>
      </w:r>
      <w:r w:rsidDel="00000000" w:rsidR="00000000" w:rsidRPr="00000000">
        <w:rPr>
          <w:rFonts w:ascii="Times New Roman" w:cs="Times New Roman" w:eastAsia="Times New Roman" w:hAnsi="Times New Roman"/>
          <w:sz w:val="24"/>
          <w:szCs w:val="24"/>
          <w:rtl w:val="0"/>
        </w:rPr>
        <w:t xml:space="preserve">ficou definido que serão necessários, em média, dois palestrantes (ou outra atividade) por turno, totalizando 12 atividades ao longo dos 3 dias de SADEP. Essas atividades podem incluir palestras, workshops, minicursos, visitas técnicas. Uma estratégia será conversar com os professores (Alberto, Hoss, Morgana, Siluk, etc.) para que eles forneçam contatos de palestrantes em cada área de interesse. </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Como o tema terá enfoque em áreas tradicionais e inovadoras da EP, é necessário que todos pesquisem áreas que estejam em alta e que sejam novas pra que possamos explorar, e possíveis palestrantes/atividades.</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Possíveis áreas de enfoque: empreendedorismo, qualidade, logística, consultoria, planejamento industrial, biomimética/lean aplicado em hospitais (palestras do SIGEPRO), EP e a sociedade (sugestão: Engenheiros Sem Fronteiras), investimentos (imobiliário, financeiro, etc).</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Foi sugerido contato com a John Deere, já que eles estão sempre disponíveis para parcerias. O enfoque com eles seria uma palestra mais técnica (entrar em contato e verificar disponibilidade).</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Outra sugestão é que seja aberto um espaço para relatos de estágios de estudantes da EP.</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Divulgação:</w:t>
      </w:r>
      <w:r w:rsidDel="00000000" w:rsidR="00000000" w:rsidRPr="00000000">
        <w:rPr>
          <w:rFonts w:ascii="Times New Roman" w:cs="Times New Roman" w:eastAsia="Times New Roman" w:hAnsi="Times New Roman"/>
          <w:sz w:val="24"/>
          <w:szCs w:val="24"/>
          <w:rtl w:val="0"/>
        </w:rPr>
        <w:t xml:space="preserve"> deve iniciar com antecedência e de forma que instigue a curiosidade das pessoas (por exemplo, “largando frases” aos poucos que desafiem os alunos do curso, e em seguida sejam divulgadas as informações e criado o evento).</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Infraestrutura: </w:t>
      </w:r>
      <w:r w:rsidDel="00000000" w:rsidR="00000000" w:rsidRPr="00000000">
        <w:rPr>
          <w:rFonts w:ascii="Times New Roman" w:cs="Times New Roman" w:eastAsia="Times New Roman" w:hAnsi="Times New Roman"/>
          <w:sz w:val="24"/>
          <w:szCs w:val="24"/>
          <w:rtl w:val="0"/>
        </w:rPr>
        <w:t xml:space="preserve">reservar o auditório do CTISM por ter espaço adequado e estrutura de som etc.</w:t>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sz w:val="24"/>
          <w:szCs w:val="24"/>
        </w:rPr>
      </w:pPr>
      <w:r w:rsidDel="00000000" w:rsidR="00000000" w:rsidRPr="00000000">
        <w:rPr>
          <w:rtl w:val="0"/>
        </w:rPr>
      </w:r>
    </w:p>
    <w:sectPr>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