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Nome completo do projeto:</w:t>
      </w:r>
      <w:r w:rsidRPr="00065F1D">
        <w:rPr>
          <w:rFonts w:eastAsia="Times New Roman"/>
          <w:b/>
          <w:bCs/>
          <w:sz w:val="24"/>
          <w:szCs w:val="24"/>
          <w:lang w:eastAsia="pt-BR"/>
        </w:rPr>
        <w:t> Processos de Aprendizagem - 2ª Edição</w:t>
      </w:r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Número de registro no SIE: </w:t>
      </w:r>
      <w:r w:rsidRPr="00065F1D">
        <w:rPr>
          <w:rFonts w:eastAsia="Times New Roman"/>
          <w:b/>
          <w:bCs/>
          <w:sz w:val="24"/>
          <w:szCs w:val="24"/>
          <w:lang w:eastAsia="pt-BR"/>
        </w:rPr>
        <w:t>042298</w:t>
      </w:r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Status: </w:t>
      </w:r>
      <w:r w:rsidRPr="00065F1D">
        <w:rPr>
          <w:rFonts w:eastAsia="Times New Roman"/>
          <w:b/>
          <w:bCs/>
          <w:sz w:val="24"/>
          <w:szCs w:val="24"/>
          <w:lang w:eastAsia="pt-BR"/>
        </w:rPr>
        <w:t>Em andamento</w:t>
      </w:r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proofErr w:type="gramStart"/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Coordenador(</w:t>
      </w:r>
      <w:proofErr w:type="gramEnd"/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a): </w:t>
      </w:r>
      <w:r w:rsidRPr="00065F1D">
        <w:rPr>
          <w:rFonts w:eastAsia="Times New Roman"/>
          <w:b/>
          <w:bCs/>
          <w:sz w:val="24"/>
          <w:szCs w:val="24"/>
          <w:lang w:eastAsia="pt-BR"/>
        </w:rPr>
        <w:t xml:space="preserve">Bruna Pereira Alves </w:t>
      </w:r>
      <w:proofErr w:type="spellStart"/>
      <w:r w:rsidRPr="00065F1D">
        <w:rPr>
          <w:rFonts w:eastAsia="Times New Roman"/>
          <w:b/>
          <w:bCs/>
          <w:sz w:val="24"/>
          <w:szCs w:val="24"/>
          <w:lang w:eastAsia="pt-BR"/>
        </w:rPr>
        <w:t>Fiorin</w:t>
      </w:r>
      <w:proofErr w:type="spellEnd"/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proofErr w:type="spellStart"/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Co-</w:t>
      </w:r>
      <w:proofErr w:type="gramStart"/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orientadore</w:t>
      </w:r>
      <w:proofErr w:type="spellEnd"/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(</w:t>
      </w:r>
      <w:proofErr w:type="gramEnd"/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a)s: </w:t>
      </w:r>
      <w:r w:rsidRPr="00065F1D">
        <w:rPr>
          <w:rFonts w:eastAsia="Times New Roman"/>
          <w:b/>
          <w:bCs/>
          <w:sz w:val="24"/>
          <w:szCs w:val="24"/>
          <w:lang w:eastAsia="pt-BR"/>
        </w:rPr>
        <w:t>Sílvia Maria de Oliveira Pavão</w:t>
      </w:r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Participantes:</w:t>
      </w:r>
      <w:r w:rsidRPr="00065F1D">
        <w:rPr>
          <w:rFonts w:eastAsia="Times New Roman"/>
          <w:b/>
          <w:bCs/>
          <w:sz w:val="24"/>
          <w:szCs w:val="24"/>
          <w:lang w:eastAsia="pt-BR"/>
        </w:rPr>
        <w:t> --</w:t>
      </w:r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proofErr w:type="gramStart"/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Acadêmico(</w:t>
      </w:r>
      <w:proofErr w:type="gramEnd"/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a)s participantes:  </w:t>
      </w:r>
      <w:r w:rsidRPr="00065F1D">
        <w:rPr>
          <w:rFonts w:eastAsia="Times New Roman"/>
          <w:b/>
          <w:bCs/>
          <w:sz w:val="24"/>
          <w:szCs w:val="24"/>
          <w:shd w:val="clear" w:color="auto" w:fill="FFFFFF"/>
          <w:lang w:eastAsia="pt-BR"/>
        </w:rPr>
        <w:t>--</w:t>
      </w:r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Objetivos:  </w:t>
      </w:r>
      <w:r w:rsidRPr="00065F1D">
        <w:rPr>
          <w:rFonts w:eastAsia="Times New Roman"/>
          <w:b/>
          <w:bCs/>
          <w:sz w:val="24"/>
          <w:szCs w:val="24"/>
          <w:lang w:eastAsia="pt-BR"/>
        </w:rPr>
        <w:t>P</w:t>
      </w:r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>romover espaços de discussão e produção do conhecimento de temáticas na área da Educação e Saúde</w:t>
      </w:r>
      <w:r w:rsidRPr="00065F1D">
        <w:rPr>
          <w:rFonts w:eastAsia="Times New Roman"/>
          <w:b/>
          <w:bCs/>
          <w:color w:val="26282A"/>
          <w:sz w:val="24"/>
          <w:szCs w:val="24"/>
          <w:lang w:eastAsia="pt-BR"/>
        </w:rPr>
        <w:t> </w:t>
      </w:r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Público alvo: </w:t>
      </w:r>
      <w:r w:rsidRPr="00065F1D">
        <w:rPr>
          <w:rFonts w:eastAsia="Times New Roman"/>
          <w:b/>
          <w:bCs/>
          <w:sz w:val="24"/>
          <w:szCs w:val="24"/>
          <w:lang w:eastAsia="pt-BR"/>
        </w:rPr>
        <w:t>Comunidade em geral</w:t>
      </w:r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Resumo do projeto:  </w:t>
      </w:r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 xml:space="preserve">Essa ação </w:t>
      </w:r>
      <w:proofErr w:type="spellStart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>extensionista</w:t>
      </w:r>
      <w:proofErr w:type="spellEnd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 xml:space="preserve"> tem como objeto geral promover espaços de discussão e produção do conhecimento de temáticas na área da Educação e Saúde. Como objetivos específicos</w:t>
      </w:r>
      <w:r w:rsidR="007775E2">
        <w:rPr>
          <w:rFonts w:eastAsia="Times New Roman"/>
          <w:b/>
          <w:bCs/>
          <w:color w:val="0D0D0D"/>
          <w:sz w:val="24"/>
          <w:szCs w:val="24"/>
          <w:lang w:eastAsia="pt-BR"/>
        </w:rPr>
        <w:t>,</w:t>
      </w:r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 xml:space="preserve"> pretende-se: reconhecer o espaço do Núcleo de Apoio à Aprendizagem como promotor de práticas que incentivem a melhor vivência das situações de aprendizagem na Universidade; favorecer a compreensão da aprendizagem humana no que tange aos aspectos que envolvem a própria educação, a saúde e os contingentes sócio ambientais, bem como as habilidades vinculadas a elas (sociais, cognitivas, psicológicas); propiciar espaços de interação social, valorizando a estratégia de g</w:t>
      </w:r>
      <w:bookmarkStart w:id="0" w:name="_GoBack"/>
      <w:bookmarkEnd w:id="0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 xml:space="preserve">rupos na educação; ampliar a participação da comunidade externa nas ações desenvolvidas pela UFSM; incentivar o desenvolvimento de pesquisas, gerando publicações e outros produtos que possam ser utilizados pela comunidade-público da ação </w:t>
      </w:r>
      <w:proofErr w:type="spellStart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>extensionista</w:t>
      </w:r>
      <w:proofErr w:type="spellEnd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 xml:space="preserve">. Visando ao alcance destes objetivos, os eventos organizados a partir deste projeto abrangerão temáticas distintas, principalmente quanto à educação, saúde, relações </w:t>
      </w:r>
      <w:proofErr w:type="spellStart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>inter</w:t>
      </w:r>
      <w:proofErr w:type="spellEnd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 xml:space="preserve"> e </w:t>
      </w:r>
      <w:proofErr w:type="gramStart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>intrapessoais, mercado</w:t>
      </w:r>
      <w:proofErr w:type="gramEnd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 xml:space="preserve"> de trabalho, autonomia, desenvolvimento e desempenho acadêmico. Os eventos serão divididos em minicursos que possibilitam maior interação e produção conjunta com os participantes - de 4 a 12 horas, e palestras de caráter informativo e </w:t>
      </w:r>
      <w:proofErr w:type="spellStart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>problematizador</w:t>
      </w:r>
      <w:proofErr w:type="spellEnd"/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t xml:space="preserve"> - com 2 horas de duração. Os encontros serão organizados pela equipe do Núcleo, que proverá os recursos materiais e humanos para efetivação dos trabalhos, bem como a divulgação por meio eletrônico ao público alvo. Espera-se que este projeto colabore com discussões importantes para a </w:t>
      </w:r>
      <w:r w:rsidRPr="00065F1D">
        <w:rPr>
          <w:rFonts w:eastAsia="Times New Roman"/>
          <w:b/>
          <w:bCs/>
          <w:color w:val="0D0D0D"/>
          <w:sz w:val="24"/>
          <w:szCs w:val="24"/>
          <w:lang w:eastAsia="pt-BR"/>
        </w:rPr>
        <w:lastRenderedPageBreak/>
        <w:t>área da educação e saúde e com a produção do conhecimento de estudantes, servidores e comunidade externa.</w:t>
      </w: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 </w:t>
      </w:r>
    </w:p>
    <w:p w:rsidR="00065F1D" w:rsidRPr="00065F1D" w:rsidRDefault="00065F1D" w:rsidP="00065F1D">
      <w:pPr>
        <w:shd w:val="clear" w:color="auto" w:fill="FFFFFF"/>
        <w:spacing w:after="0" w:line="360" w:lineRule="auto"/>
        <w:jc w:val="both"/>
        <w:rPr>
          <w:rFonts w:eastAsia="Times New Roman"/>
          <w:color w:val="26282A"/>
          <w:sz w:val="24"/>
          <w:szCs w:val="24"/>
          <w:lang w:eastAsia="pt-BR"/>
        </w:rPr>
      </w:pP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Atividades desenvolvidas: </w:t>
      </w:r>
      <w:r w:rsidRPr="00065F1D">
        <w:rPr>
          <w:rFonts w:eastAsia="Times New Roman"/>
          <w:b/>
          <w:bCs/>
          <w:sz w:val="24"/>
          <w:szCs w:val="24"/>
          <w:lang w:eastAsia="pt-BR"/>
        </w:rPr>
        <w:t>Minicursos e Palestras</w:t>
      </w:r>
    </w:p>
    <w:p w:rsidR="00065F1D" w:rsidRDefault="00065F1D" w:rsidP="00065F1D">
      <w:pPr>
        <w:shd w:val="clear" w:color="auto" w:fill="FFFFFF"/>
        <w:spacing w:after="0" w:line="360" w:lineRule="auto"/>
        <w:rPr>
          <w:rFonts w:eastAsia="Times New Roman"/>
          <w:b/>
          <w:bCs/>
          <w:color w:val="CD232C"/>
          <w:sz w:val="24"/>
          <w:szCs w:val="24"/>
          <w:lang w:eastAsia="pt-BR"/>
        </w:rPr>
      </w:pPr>
      <w:r w:rsidRPr="00065F1D">
        <w:rPr>
          <w:rFonts w:eastAsia="Times New Roman"/>
          <w:b/>
          <w:bCs/>
          <w:color w:val="CD232C"/>
          <w:sz w:val="24"/>
          <w:szCs w:val="24"/>
          <w:lang w:eastAsia="pt-BR"/>
        </w:rPr>
        <w:t>Principais Resultados: </w:t>
      </w:r>
    </w:p>
    <w:p w:rsidR="00065F1D" w:rsidRP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  <w:r>
        <w:rPr>
          <w:rFonts w:ascii="Helvetica" w:eastAsia="Times New Roman" w:hAnsi="Helvetica" w:cs="Helvetica"/>
          <w:noProof/>
          <w:color w:val="26282A"/>
          <w:sz w:val="20"/>
          <w:szCs w:val="20"/>
          <w:lang w:eastAsia="pt-BR"/>
        </w:rPr>
        <w:drawing>
          <wp:inline distT="0" distB="0" distL="0" distR="0">
            <wp:extent cx="4886325" cy="3276600"/>
            <wp:effectExtent l="0" t="0" r="9525" b="0"/>
            <wp:docPr id="1" name="Imagem 1" descr="C:\Users\pccli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cli\Desktop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  <w:r>
        <w:rPr>
          <w:rFonts w:ascii="Helvetica" w:eastAsia="Times New Roman" w:hAnsi="Helvetica" w:cs="Helvetica"/>
          <w:noProof/>
          <w:color w:val="26282A"/>
          <w:sz w:val="20"/>
          <w:szCs w:val="20"/>
          <w:lang w:eastAsia="pt-BR"/>
        </w:rPr>
        <w:drawing>
          <wp:inline distT="0" distB="0" distL="0" distR="0">
            <wp:extent cx="4581525" cy="2752725"/>
            <wp:effectExtent l="0" t="0" r="9525" b="9525"/>
            <wp:docPr id="2" name="Imagem 2" descr="C:\Users\pccli\Desktop\thumbn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cli\Desktop\thumbnai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  <w:r>
        <w:rPr>
          <w:rFonts w:ascii="Helvetica" w:eastAsia="Times New Roman" w:hAnsi="Helvetica" w:cs="Helvetica"/>
          <w:noProof/>
          <w:color w:val="26282A"/>
          <w:sz w:val="20"/>
          <w:szCs w:val="20"/>
          <w:lang w:eastAsia="pt-BR"/>
        </w:rPr>
        <w:lastRenderedPageBreak/>
        <w:drawing>
          <wp:inline distT="0" distB="0" distL="0" distR="0">
            <wp:extent cx="4676775" cy="2952750"/>
            <wp:effectExtent l="0" t="0" r="9525" b="0"/>
            <wp:docPr id="3" name="Imagem 3" descr="C:\Users\pccli\Desktop\thumbnai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cli\Desktop\thumbnail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065F1D" w:rsidRP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  <w:r>
        <w:rPr>
          <w:rFonts w:ascii="Helvetica" w:eastAsia="Times New Roman" w:hAnsi="Helvetica" w:cs="Helvetica"/>
          <w:noProof/>
          <w:color w:val="26282A"/>
          <w:sz w:val="20"/>
          <w:szCs w:val="20"/>
          <w:lang w:eastAsia="pt-BR"/>
        </w:rPr>
        <w:drawing>
          <wp:inline distT="0" distB="0" distL="0" distR="0">
            <wp:extent cx="4581525" cy="2752725"/>
            <wp:effectExtent l="0" t="0" r="9525" b="9525"/>
            <wp:docPr id="4" name="Imagem 4" descr="C:\Users\pccli\Desktop\thumbnai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cli\Desktop\thumbnail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1D" w:rsidRP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065F1D" w:rsidRP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065F1D" w:rsidRP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065F1D" w:rsidRP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065F1D" w:rsidRP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065F1D" w:rsidRPr="00065F1D" w:rsidRDefault="00065F1D" w:rsidP="00065F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pt-BR"/>
        </w:rPr>
      </w:pPr>
    </w:p>
    <w:p w:rsidR="00EF14A0" w:rsidRDefault="00EF14A0"/>
    <w:sectPr w:rsidR="00EF14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1D"/>
    <w:rsid w:val="00065F1D"/>
    <w:rsid w:val="007775E2"/>
    <w:rsid w:val="007C3A53"/>
    <w:rsid w:val="00C2518E"/>
    <w:rsid w:val="00DA13F9"/>
    <w:rsid w:val="00E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rsid w:val="00DA1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3F9"/>
    <w:pPr>
      <w:ind w:left="720"/>
      <w:contextualSpacing/>
    </w:pPr>
    <w:rPr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DA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A13F9"/>
    <w:pPr>
      <w:outlineLvl w:val="9"/>
    </w:pPr>
  </w:style>
  <w:style w:type="paragraph" w:styleId="Legenda">
    <w:name w:val="caption"/>
    <w:basedOn w:val="Normal"/>
    <w:next w:val="Normal"/>
    <w:uiPriority w:val="35"/>
    <w:unhideWhenUsed/>
    <w:qFormat/>
    <w:rsid w:val="00C2518E"/>
    <w:pPr>
      <w:spacing w:line="240" w:lineRule="auto"/>
    </w:pPr>
    <w:rPr>
      <w:rFonts w:eastAsiaTheme="minorHAnsi" w:cstheme="minorBidi"/>
      <w:b/>
      <w:bCs/>
      <w:color w:val="auto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firstLine="0"/>
      <w:jc w:val="left"/>
    </w:pPr>
  </w:style>
  <w:style w:type="paragraph" w:styleId="Ttulo1">
    <w:name w:val="heading 1"/>
    <w:basedOn w:val="Normal"/>
    <w:next w:val="Normal"/>
    <w:link w:val="Ttulo1Char"/>
    <w:uiPriority w:val="9"/>
    <w:rsid w:val="00DA13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3F9"/>
    <w:pPr>
      <w:ind w:left="720"/>
      <w:contextualSpacing/>
    </w:pPr>
    <w:rPr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DA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A13F9"/>
    <w:pPr>
      <w:outlineLvl w:val="9"/>
    </w:pPr>
  </w:style>
  <w:style w:type="paragraph" w:styleId="Legenda">
    <w:name w:val="caption"/>
    <w:basedOn w:val="Normal"/>
    <w:next w:val="Normal"/>
    <w:uiPriority w:val="35"/>
    <w:unhideWhenUsed/>
    <w:qFormat/>
    <w:rsid w:val="00C2518E"/>
    <w:pPr>
      <w:spacing w:line="240" w:lineRule="auto"/>
    </w:pPr>
    <w:rPr>
      <w:rFonts w:eastAsiaTheme="minorHAnsi" w:cstheme="minorBidi"/>
      <w:b/>
      <w:bCs/>
      <w:color w:val="auto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Jupira</dc:creator>
  <cp:lastModifiedBy>Jupira</cp:lastModifiedBy>
  <cp:revision>3</cp:revision>
  <dcterms:created xsi:type="dcterms:W3CDTF">2018-11-09T16:21:00Z</dcterms:created>
  <dcterms:modified xsi:type="dcterms:W3CDTF">2018-11-09T16:26:00Z</dcterms:modified>
</cp:coreProperties>
</file>