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2B" w:rsidRDefault="0018522C" w:rsidP="0092509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2085340</wp:posOffset>
            </wp:positionH>
            <wp:positionV relativeFrom="margin">
              <wp:posOffset>279400</wp:posOffset>
            </wp:positionV>
            <wp:extent cx="906780" cy="728980"/>
            <wp:effectExtent l="0" t="0" r="762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6A5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5365750</wp:posOffset>
            </wp:positionH>
            <wp:positionV relativeFrom="paragraph">
              <wp:posOffset>225425</wp:posOffset>
            </wp:positionV>
            <wp:extent cx="813435" cy="1108075"/>
            <wp:effectExtent l="0" t="0" r="5715" b="0"/>
            <wp:wrapNone/>
            <wp:docPr id="4" name="Imagen 7" descr="Resultado de imagen para departamento de humanidades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departamento de humanidades 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6A5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226060</wp:posOffset>
            </wp:positionV>
            <wp:extent cx="1060450" cy="1060450"/>
            <wp:effectExtent l="0" t="0" r="6350" b="6350"/>
            <wp:wrapNone/>
            <wp:docPr id="5" name="Imagen 4" descr="Resultado de imagen para departamento de humanidades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departamento de humanidades un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6A5">
        <w:rPr>
          <w:noProof/>
          <w:lang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96520</wp:posOffset>
            </wp:positionV>
            <wp:extent cx="1348740" cy="1185545"/>
            <wp:effectExtent l="0" t="0" r="3810" b="0"/>
            <wp:wrapSquare wrapText="bothSides"/>
            <wp:docPr id="3" name="Imagen 5" descr="http://cecies.org/editor/assets/convenio%20cecies%20allegheny%20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cecies.org/editor/assets/convenio%20cecies%20allegheny%20colle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92B" w:rsidRDefault="00EE092B" w:rsidP="0092509E">
      <w:pPr>
        <w:jc w:val="center"/>
        <w:rPr>
          <w:sz w:val="28"/>
          <w:szCs w:val="28"/>
        </w:rPr>
      </w:pPr>
    </w:p>
    <w:p w:rsidR="00EE092B" w:rsidRPr="00B26E74" w:rsidRDefault="0018522C" w:rsidP="0092509E">
      <w:pPr>
        <w:jc w:val="center"/>
        <w:rPr>
          <w:sz w:val="28"/>
          <w:szCs w:val="28"/>
        </w:rPr>
      </w:pPr>
      <w:r w:rsidRPr="008022C9">
        <w:rPr>
          <w:rFonts w:ascii="Arial Black" w:hAnsi="Arial Black"/>
          <w:noProof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2136140</wp:posOffset>
            </wp:positionH>
            <wp:positionV relativeFrom="margin">
              <wp:posOffset>1092200</wp:posOffset>
            </wp:positionV>
            <wp:extent cx="873760" cy="366395"/>
            <wp:effectExtent l="0" t="0" r="254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92B" w:rsidRDefault="0018522C" w:rsidP="008656A5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es-AR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2210435</wp:posOffset>
            </wp:positionH>
            <wp:positionV relativeFrom="paragraph">
              <wp:posOffset>495300</wp:posOffset>
            </wp:positionV>
            <wp:extent cx="1076960" cy="1410970"/>
            <wp:effectExtent l="0" t="0" r="8890" b="0"/>
            <wp:wrapTopAndBottom/>
            <wp:docPr id="7" name="Imagen 6" descr="logo CORR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 CORRED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F7C" w:rsidRDefault="0018522C" w:rsidP="00EE6C95">
      <w:pPr>
        <w:jc w:val="center"/>
        <w:rPr>
          <w:b/>
          <w:bCs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3521075</wp:posOffset>
            </wp:positionH>
            <wp:positionV relativeFrom="margin">
              <wp:posOffset>1717040</wp:posOffset>
            </wp:positionV>
            <wp:extent cx="1433830" cy="1218565"/>
            <wp:effectExtent l="0" t="0" r="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22C" w:rsidRDefault="0018522C" w:rsidP="00EE6C95">
      <w:pPr>
        <w:jc w:val="center"/>
        <w:rPr>
          <w:b/>
          <w:bCs/>
        </w:rPr>
      </w:pPr>
    </w:p>
    <w:p w:rsidR="00EE092B" w:rsidRPr="00524560" w:rsidRDefault="00B46F7C" w:rsidP="00EE6C95">
      <w:pPr>
        <w:jc w:val="center"/>
        <w:rPr>
          <w:b/>
          <w:bCs/>
        </w:rPr>
      </w:pPr>
      <w:r w:rsidRPr="00524560">
        <w:rPr>
          <w:b/>
          <w:bCs/>
        </w:rPr>
        <w:t>PRIMERA CIRCULAR</w:t>
      </w:r>
    </w:p>
    <w:p w:rsidR="00EE092B" w:rsidRPr="00524560" w:rsidRDefault="00EE092B" w:rsidP="00E95966">
      <w:pPr>
        <w:jc w:val="center"/>
        <w:rPr>
          <w:b/>
          <w:bCs/>
          <w:i/>
          <w:iCs/>
        </w:rPr>
      </w:pPr>
      <w:r w:rsidRPr="00524560">
        <w:rPr>
          <w:b/>
          <w:bCs/>
          <w:i/>
          <w:iCs/>
        </w:rPr>
        <w:t xml:space="preserve">XV Corredor de las Ideas del Cono Sur-X Coloquio </w:t>
      </w:r>
      <w:r w:rsidRPr="00710A0D">
        <w:rPr>
          <w:b/>
          <w:bCs/>
          <w:i/>
          <w:iCs/>
        </w:rPr>
        <w:t>Internacional</w:t>
      </w:r>
      <w:r w:rsidRPr="00524560">
        <w:rPr>
          <w:b/>
          <w:bCs/>
          <w:i/>
          <w:iCs/>
        </w:rPr>
        <w:t xml:space="preserve"> de Filosofía Política</w:t>
      </w:r>
    </w:p>
    <w:p w:rsidR="00EE092B" w:rsidRPr="00524560" w:rsidRDefault="00EE092B" w:rsidP="00E95966">
      <w:pPr>
        <w:jc w:val="center"/>
        <w:rPr>
          <w:b/>
          <w:bCs/>
          <w:i/>
          <w:iCs/>
        </w:rPr>
      </w:pPr>
      <w:r w:rsidRPr="00524560">
        <w:rPr>
          <w:b/>
          <w:bCs/>
          <w:i/>
          <w:iCs/>
        </w:rPr>
        <w:t>Nuestra América ante el centenario de la reforma universitaria: Visiones críticas</w:t>
      </w:r>
    </w:p>
    <w:p w:rsidR="00EE092B" w:rsidRPr="00524560" w:rsidRDefault="00EE092B" w:rsidP="00AC53FF">
      <w:pPr>
        <w:jc w:val="center"/>
        <w:rPr>
          <w:b/>
          <w:bCs/>
        </w:rPr>
      </w:pPr>
      <w:r w:rsidRPr="00524560">
        <w:rPr>
          <w:b/>
          <w:bCs/>
        </w:rPr>
        <w:t>Bahía Blanca, 28, 29 y 30 noviembre 2018</w:t>
      </w:r>
    </w:p>
    <w:p w:rsidR="00EE092B" w:rsidRPr="00524560" w:rsidRDefault="00EE092B" w:rsidP="00AC53FF">
      <w:pPr>
        <w:jc w:val="center"/>
        <w:rPr>
          <w:b/>
          <w:bCs/>
        </w:rPr>
      </w:pPr>
      <w:r w:rsidRPr="00524560">
        <w:rPr>
          <w:b/>
          <w:bCs/>
        </w:rPr>
        <w:t>Departamento de Humanidades, UNS</w:t>
      </w:r>
    </w:p>
    <w:p w:rsidR="00EE092B" w:rsidRPr="00524560" w:rsidRDefault="00EE092B" w:rsidP="000C0369">
      <w:pPr>
        <w:jc w:val="both"/>
        <w:rPr>
          <w:b/>
          <w:bCs/>
        </w:rPr>
      </w:pPr>
      <w:r w:rsidRPr="00524560">
        <w:rPr>
          <w:b/>
          <w:bCs/>
        </w:rPr>
        <w:t>Fundamentación</w:t>
      </w:r>
    </w:p>
    <w:p w:rsidR="00EE092B" w:rsidRPr="00524560" w:rsidRDefault="00EE092B" w:rsidP="000C0369">
      <w:pPr>
        <w:jc w:val="both"/>
      </w:pPr>
      <w:r w:rsidRPr="00524560">
        <w:t>La Reforma Universitaria de 1918 constituye un disparador retrospectivo e introspectivo en torno a problemáticas que se han desarrollado en América Latina a lo largo de su recorrido histórico y que hoy se manifiestan de manera contundente desde la tensión entre una hegemonía restauradora y una praxis alternativa.</w:t>
      </w:r>
    </w:p>
    <w:p w:rsidR="00EE092B" w:rsidRPr="00524560" w:rsidRDefault="00EE092B" w:rsidP="000C0369">
      <w:pPr>
        <w:jc w:val="both"/>
      </w:pPr>
      <w:r w:rsidRPr="00524560">
        <w:t xml:space="preserve">La reforma reclama exceder el marco propio del estudio de caso  y de una narrativa descriptiva. Por el contrario exige ser concebida y problematizada como una verdadera caja de resonancia que invita a la reflexión sobre diversos conflictos que no se encriptan </w:t>
      </w:r>
      <w:r w:rsidRPr="00710A0D">
        <w:t>exclusivamente</w:t>
      </w:r>
      <w:r w:rsidRPr="00524560">
        <w:t xml:space="preserve"> en el locus universitario. Así, este acontecimiento redobla la apuesta hacia un pensamiento interdisciplinario que en esta interrelación avance hacia una </w:t>
      </w:r>
      <w:proofErr w:type="spellStart"/>
      <w:r w:rsidRPr="00524560">
        <w:t>transdisciplin</w:t>
      </w:r>
      <w:r w:rsidRPr="00710A0D">
        <w:t>a</w:t>
      </w:r>
      <w:proofErr w:type="spellEnd"/>
      <w:r w:rsidRPr="00710A0D">
        <w:t xml:space="preserve"> nu</w:t>
      </w:r>
      <w:r w:rsidRPr="00524560">
        <w:t xml:space="preserve">estroamericana, a la elaboración de una </w:t>
      </w:r>
      <w:r w:rsidRPr="008656A5">
        <w:rPr>
          <w:i/>
        </w:rPr>
        <w:t>hermandad</w:t>
      </w:r>
      <w:r w:rsidRPr="00524560">
        <w:t xml:space="preserve"> que precisamente requiere una tarea recíproca de reconocimiento en un contexto siempre abierto a las tensiones, a las diferencias, a las radicalizaciones. </w:t>
      </w:r>
    </w:p>
    <w:p w:rsidR="00EE092B" w:rsidRPr="00524560" w:rsidRDefault="00EE092B" w:rsidP="000C0369">
      <w:pPr>
        <w:jc w:val="both"/>
      </w:pPr>
      <w:r w:rsidRPr="00524560">
        <w:t>La reforma de 1918 se constituyó en un acontecimiento paradigmático con alta capacidad de impacto, no solo en su contexto inmediato sino también hoy en esta coyuntura que interpela a la sociedad toda. Y es por ello, que desde la esfera universitaria, de las organizaciones y movimientos sociales, convocamos a un debate crítico que:</w:t>
      </w:r>
    </w:p>
    <w:p w:rsidR="00EE092B" w:rsidRPr="00524560" w:rsidRDefault="00EE092B" w:rsidP="000C0369">
      <w:pPr>
        <w:jc w:val="both"/>
      </w:pPr>
      <w:r w:rsidRPr="00524560">
        <w:t>Nos inste a pensar acerca de lo “que necesitamos saber”,</w:t>
      </w:r>
      <w:r w:rsidR="000C0369">
        <w:t xml:space="preserve"> lo que</w:t>
      </w:r>
      <w:r w:rsidRPr="00524560">
        <w:t xml:space="preserve">  “nos importa saber” en este el escenario  del “presente continuo”.</w:t>
      </w:r>
    </w:p>
    <w:p w:rsidR="00EE092B" w:rsidRPr="00524560" w:rsidRDefault="00EE092B" w:rsidP="000C0369">
      <w:pPr>
        <w:jc w:val="both"/>
      </w:pPr>
      <w:r w:rsidRPr="00524560">
        <w:t xml:space="preserve">A construir colectivamente conocimientos medulares sobre la Historia y el  pensamiento latinoamericano hacia el desarrollo de  una postura crítica, que pueda asumir posiciones comprometidas con los valores más altos y creativos presentes en la impronta cultural de Nuestra América. </w:t>
      </w:r>
    </w:p>
    <w:p w:rsidR="00EE092B" w:rsidRPr="00524560" w:rsidRDefault="00EE092B" w:rsidP="000C0369">
      <w:pPr>
        <w:jc w:val="both"/>
      </w:pPr>
      <w:r w:rsidRPr="00524560">
        <w:lastRenderedPageBreak/>
        <w:t xml:space="preserve">A  superar las visiones  </w:t>
      </w:r>
      <w:r w:rsidRPr="00710A0D">
        <w:t>únicas o excluyentes</w:t>
      </w:r>
      <w:r w:rsidRPr="00524560">
        <w:t xml:space="preserve"> de los imaginarios instalados, realizando un abordaje del pasado a partir de un enfoque  crítico-prospectivo, en el sentido de revisar, descorrer y actualizar problemáticas inconclusas que recorren el trayecto </w:t>
      </w:r>
      <w:r w:rsidRPr="00710A0D">
        <w:t>emancipador</w:t>
      </w:r>
      <w:r w:rsidRPr="00524560">
        <w:t xml:space="preserve"> americano hasta la actualidad. </w:t>
      </w:r>
    </w:p>
    <w:p w:rsidR="00EE092B" w:rsidRPr="00524560" w:rsidRDefault="00EE092B" w:rsidP="000C0369">
      <w:pPr>
        <w:jc w:val="both"/>
      </w:pPr>
      <w:r w:rsidRPr="00524560">
        <w:t>El legado de la Reforma viene a nutrir hoy uno de los pocos ideales de vida más generoso</w:t>
      </w:r>
      <w:r w:rsidR="00710A0D">
        <w:t xml:space="preserve"> </w:t>
      </w:r>
      <w:r w:rsidRPr="00524560">
        <w:t xml:space="preserve">e inspirador, por su aproximación al libre examen junto a su proclividad para ensamblar las diferentes corrientes en juego y su asumido reconocimiento de la alteridad. Acontecimiento que supo transponer su contemporaneidad para fraguar posteriormente en una de sus notas más significativas y ejemplares, como la gratuidad </w:t>
      </w:r>
      <w:r w:rsidRPr="00867480">
        <w:t>de la enseñanza,</w:t>
      </w:r>
      <w:r w:rsidRPr="00524560">
        <w:t xml:space="preserve"> que se sella en el contexto de las luchas obreras y estudiantiles, y de las políticas públicas defensoras de una universidad masiva e igualitaria.</w:t>
      </w:r>
    </w:p>
    <w:p w:rsidR="00EE092B" w:rsidRPr="00524560" w:rsidRDefault="00EE092B" w:rsidP="000C0369">
      <w:pPr>
        <w:jc w:val="both"/>
      </w:pPr>
      <w:r w:rsidRPr="00524560">
        <w:t xml:space="preserve">Al mismo tiempo, su concepción de la universidad cabe ser estimada como el aporte más innovador que ha salido de América Latina en ese rubro decisivo. Sin embargo, conforme a la señalada tónica correctiva implícita en el mismo espíritu reformista, muchos de sus principios deben ser reexaminados para evitar el simplismo y los esquematismos, una revaloración que, en puridad, forma parte de los objetivos centrales propuestos para este próximo Corredor de las Ideas del Cono Sur. </w:t>
      </w:r>
    </w:p>
    <w:p w:rsidR="00EE092B" w:rsidRPr="00524560" w:rsidRDefault="00EE092B" w:rsidP="000C0369">
      <w:pPr>
        <w:jc w:val="both"/>
      </w:pPr>
      <w:r w:rsidRPr="00524560">
        <w:t xml:space="preserve">El objetivo principal del evento pretende rescatar y recrear a través de sus actividades, los grandes principios que emergieron a partir del movimiento reformista y su impacto en las esferas </w:t>
      </w:r>
      <w:proofErr w:type="spellStart"/>
      <w:r w:rsidRPr="00524560">
        <w:t>intra</w:t>
      </w:r>
      <w:proofErr w:type="spellEnd"/>
      <w:r w:rsidRPr="00524560">
        <w:t xml:space="preserve"> y extra universitarias, de proyección local, nuestroamericana y de alcance universal.</w:t>
      </w:r>
    </w:p>
    <w:p w:rsidR="00EE092B" w:rsidRPr="00524560" w:rsidRDefault="00EE092B" w:rsidP="000C0369">
      <w:pPr>
        <w:jc w:val="both"/>
      </w:pPr>
      <w:r w:rsidRPr="00524560">
        <w:t xml:space="preserve">Así mismo, </w:t>
      </w:r>
      <w:r w:rsidR="000C0369">
        <w:t>i</w:t>
      </w:r>
      <w:r w:rsidRPr="00524560">
        <w:t xml:space="preserve">dentificar las principales líneas y problemas de nuestra Historia y de nuestro pensamiento en el marco de un tablero mundial y continental inmerso en un proceso en movimiento que compulsa vertientes y actores políticos que arrastran una inercia estructural.   </w:t>
      </w:r>
    </w:p>
    <w:p w:rsidR="00EE092B" w:rsidRPr="00524560" w:rsidRDefault="00EE092B" w:rsidP="000C0369">
      <w:pPr>
        <w:jc w:val="both"/>
      </w:pPr>
      <w:r w:rsidRPr="00524560">
        <w:t xml:space="preserve">Por último, </w:t>
      </w:r>
      <w:r w:rsidR="000C0369">
        <w:t>i</w:t>
      </w:r>
      <w:r w:rsidRPr="00524560">
        <w:t xml:space="preserve">ncentivar los grados participativos de conciencia  </w:t>
      </w:r>
      <w:proofErr w:type="spellStart"/>
      <w:r w:rsidRPr="00524560">
        <w:t>nuestramericana</w:t>
      </w:r>
      <w:proofErr w:type="spellEnd"/>
      <w:r w:rsidRPr="00524560">
        <w:t xml:space="preserve"> y realizaciones sociales.</w:t>
      </w:r>
    </w:p>
    <w:p w:rsidR="00EE092B" w:rsidRPr="00524560" w:rsidRDefault="00EE092B" w:rsidP="00892F61">
      <w:pPr>
        <w:spacing w:after="0" w:line="360" w:lineRule="auto"/>
        <w:jc w:val="center"/>
        <w:rPr>
          <w:b/>
          <w:bCs/>
        </w:rPr>
      </w:pPr>
      <w:r w:rsidRPr="00524560">
        <w:rPr>
          <w:b/>
          <w:bCs/>
        </w:rPr>
        <w:t>DINAMICA DEL CONGRESO</w:t>
      </w:r>
    </w:p>
    <w:p w:rsidR="00EE092B" w:rsidRPr="00524560" w:rsidRDefault="00EE092B" w:rsidP="00213374">
      <w:pPr>
        <w:spacing w:after="0" w:line="360" w:lineRule="auto"/>
        <w:jc w:val="both"/>
      </w:pPr>
      <w:r w:rsidRPr="00524560">
        <w:t>El congreso se desarrollará en torno a dos grandes lineamientos que nos convocan: por un lado el referido a la temática específica –La Reforma Universitaria- y por otro a las grandes líneas constitutivas el Corredor de las Ideas y los Coloquios de Filosofía Política.</w:t>
      </w:r>
    </w:p>
    <w:p w:rsidR="00EE092B" w:rsidRPr="00524560" w:rsidRDefault="00EE092B" w:rsidP="00213374">
      <w:pPr>
        <w:spacing w:after="0" w:line="360" w:lineRule="auto"/>
        <w:jc w:val="both"/>
        <w:rPr>
          <w:b/>
          <w:bCs/>
        </w:rPr>
      </w:pPr>
    </w:p>
    <w:p w:rsidR="00EE092B" w:rsidRPr="00524560" w:rsidRDefault="00EE092B" w:rsidP="00213374">
      <w:pPr>
        <w:spacing w:after="0" w:line="360" w:lineRule="auto"/>
        <w:jc w:val="both"/>
        <w:rPr>
          <w:b/>
          <w:bCs/>
        </w:rPr>
      </w:pPr>
      <w:r w:rsidRPr="00524560">
        <w:rPr>
          <w:b/>
          <w:bCs/>
        </w:rPr>
        <w:t xml:space="preserve">EJES TEMÁTICOS </w:t>
      </w:r>
    </w:p>
    <w:p w:rsidR="00EE092B" w:rsidRPr="00524560" w:rsidRDefault="00EE092B" w:rsidP="001C4FA1">
      <w:pPr>
        <w:spacing w:after="0" w:line="360" w:lineRule="auto"/>
        <w:jc w:val="both"/>
        <w:rPr>
          <w:b/>
          <w:bCs/>
        </w:rPr>
      </w:pPr>
      <w:r w:rsidRPr="00524560">
        <w:rPr>
          <w:b/>
          <w:bCs/>
        </w:rPr>
        <w:t xml:space="preserve">I DEL MOVIMIENTO REFORMISTA                            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>Génesis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 xml:space="preserve">Principios 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 xml:space="preserve">Vertientes ideológicas </w:t>
      </w:r>
      <w:r w:rsidRPr="00867480">
        <w:t>y filosóficas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 xml:space="preserve">Sujetos y actores 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 xml:space="preserve">Aspectos  institucionales y pedagógicos 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>Contexto socio-político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>Redes culturales e intelectuales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 xml:space="preserve">Impacto </w:t>
      </w:r>
      <w:r w:rsidRPr="00867480">
        <w:t>dentro y fuera de</w:t>
      </w:r>
      <w:r w:rsidRPr="00524560">
        <w:t xml:space="preserve"> Nuestra América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>Las experiencias críticas de los sesenta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>El campo popular  y la Educación Pública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</w:pPr>
      <w:r w:rsidRPr="00524560">
        <w:t xml:space="preserve">Educación pública entre  violencias y </w:t>
      </w:r>
      <w:proofErr w:type="spellStart"/>
      <w:r w:rsidRPr="00524560">
        <w:t>disciplinamiento</w:t>
      </w:r>
      <w:proofErr w:type="spellEnd"/>
      <w:r w:rsidRPr="00524560">
        <w:t xml:space="preserve"> social </w:t>
      </w:r>
    </w:p>
    <w:p w:rsidR="00EE092B" w:rsidRPr="00524560" w:rsidRDefault="00EE092B" w:rsidP="001C4FA1">
      <w:pPr>
        <w:numPr>
          <w:ilvl w:val="0"/>
          <w:numId w:val="2"/>
        </w:numPr>
        <w:spacing w:after="0" w:line="240" w:lineRule="auto"/>
        <w:jc w:val="both"/>
      </w:pPr>
      <w:r w:rsidRPr="00524560">
        <w:t>Re-pensar la universidad hoy</w:t>
      </w:r>
    </w:p>
    <w:p w:rsidR="00EE092B" w:rsidRPr="00524560" w:rsidRDefault="00EE092B" w:rsidP="001C4FA1">
      <w:pPr>
        <w:spacing w:after="0"/>
        <w:jc w:val="both"/>
        <w:rPr>
          <w:b/>
          <w:bCs/>
        </w:rPr>
      </w:pPr>
    </w:p>
    <w:p w:rsidR="00EE092B" w:rsidRPr="00524560" w:rsidRDefault="00EE092B" w:rsidP="001C4FA1">
      <w:pPr>
        <w:spacing w:after="0"/>
        <w:jc w:val="both"/>
        <w:rPr>
          <w:b/>
          <w:bCs/>
        </w:rPr>
      </w:pPr>
      <w:r w:rsidRPr="00524560">
        <w:rPr>
          <w:b/>
          <w:bCs/>
        </w:rPr>
        <w:t xml:space="preserve">II  PROBLEMAS COMUNES </w:t>
      </w:r>
      <w:r w:rsidR="00867480">
        <w:rPr>
          <w:b/>
          <w:bCs/>
        </w:rPr>
        <w:t>DE NUESTRA AMERICA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jc w:val="both"/>
      </w:pPr>
      <w:r w:rsidRPr="00524560">
        <w:t>Identidades y encuentros interculturales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jc w:val="both"/>
      </w:pPr>
      <w:r w:rsidRPr="00524560">
        <w:t>Política y Democracia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jc w:val="both"/>
      </w:pPr>
      <w:r w:rsidRPr="00524560">
        <w:t>Derechos Humanos y Memoria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jc w:val="both"/>
      </w:pPr>
      <w:r w:rsidRPr="00524560">
        <w:t xml:space="preserve">La Integración como un </w:t>
      </w:r>
      <w:r w:rsidRPr="00524560">
        <w:rPr>
          <w:i/>
          <w:iCs/>
        </w:rPr>
        <w:t xml:space="preserve"> nosotros</w:t>
      </w:r>
      <w:r w:rsidRPr="00524560">
        <w:t xml:space="preserve"> vs la integración(s) impuestas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jc w:val="both"/>
      </w:pPr>
      <w:r w:rsidRPr="00524560">
        <w:lastRenderedPageBreak/>
        <w:t>Los Estudios emancipatorios y las Epistemología(s) del S</w:t>
      </w:r>
      <w:r w:rsidRPr="00867480">
        <w:t>ur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24560">
        <w:t>Pensamiento crítico y pensamiento alternativo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24560">
        <w:t xml:space="preserve">Neoliberalismo y </w:t>
      </w:r>
      <w:proofErr w:type="spellStart"/>
      <w:r w:rsidRPr="00524560">
        <w:t>neuroliberalismo</w:t>
      </w:r>
      <w:proofErr w:type="spellEnd"/>
      <w:r w:rsidRPr="00524560">
        <w:t xml:space="preserve"> en contextos globalizadores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24560">
        <w:t xml:space="preserve">Restauración conservadora y </w:t>
      </w:r>
      <w:proofErr w:type="spellStart"/>
      <w:r w:rsidRPr="00524560">
        <w:t>posprogresismo</w:t>
      </w:r>
      <w:proofErr w:type="spellEnd"/>
    </w:p>
    <w:p w:rsidR="00D15B71" w:rsidRDefault="00EE092B" w:rsidP="00D15B71">
      <w:pPr>
        <w:numPr>
          <w:ilvl w:val="0"/>
          <w:numId w:val="1"/>
        </w:numPr>
        <w:spacing w:after="0" w:line="240" w:lineRule="auto"/>
      </w:pPr>
      <w:r w:rsidRPr="00524560">
        <w:t>Medios d</w:t>
      </w:r>
      <w:r w:rsidR="00D15B71">
        <w:t>e comunicación y opinión pública</w:t>
      </w:r>
    </w:p>
    <w:p w:rsidR="00D15B71" w:rsidRPr="00524560" w:rsidRDefault="00D15B71" w:rsidP="00D15B71">
      <w:pPr>
        <w:numPr>
          <w:ilvl w:val="0"/>
          <w:numId w:val="1"/>
        </w:numPr>
        <w:spacing w:after="0" w:line="240" w:lineRule="auto"/>
      </w:pPr>
      <w:r>
        <w:t>Estudios y debates sobre género</w:t>
      </w:r>
    </w:p>
    <w:p w:rsidR="00EE092B" w:rsidRPr="00524560" w:rsidRDefault="00EE092B" w:rsidP="001C4FA1">
      <w:pPr>
        <w:numPr>
          <w:ilvl w:val="0"/>
          <w:numId w:val="1"/>
        </w:numPr>
        <w:spacing w:after="0" w:line="240" w:lineRule="auto"/>
      </w:pPr>
      <w:r w:rsidRPr="00524560">
        <w:t>La problemática de la accesibilidad educativa entre lo ideal y lo real</w:t>
      </w:r>
    </w:p>
    <w:p w:rsidR="00EE092B" w:rsidRDefault="00EE092B" w:rsidP="001C4FA1">
      <w:pPr>
        <w:numPr>
          <w:ilvl w:val="0"/>
          <w:numId w:val="1"/>
        </w:numPr>
        <w:spacing w:after="0" w:line="240" w:lineRule="auto"/>
      </w:pPr>
      <w:r w:rsidRPr="00524560">
        <w:t>Conflictos, violencias y control social</w:t>
      </w:r>
    </w:p>
    <w:p w:rsidR="0018522C" w:rsidRPr="00524560" w:rsidRDefault="0018522C" w:rsidP="00D15B71">
      <w:pPr>
        <w:spacing w:after="0" w:line="240" w:lineRule="auto"/>
        <w:ind w:left="360"/>
      </w:pPr>
    </w:p>
    <w:p w:rsidR="00EE092B" w:rsidRPr="00524560" w:rsidRDefault="00EE092B" w:rsidP="001C4FA1">
      <w:pPr>
        <w:spacing w:after="0"/>
        <w:jc w:val="both"/>
      </w:pPr>
    </w:p>
    <w:p w:rsidR="00EE092B" w:rsidRPr="00524560" w:rsidRDefault="000C0369" w:rsidP="000C0369">
      <w:pPr>
        <w:spacing w:after="0"/>
        <w:jc w:val="center"/>
        <w:rPr>
          <w:b/>
          <w:bCs/>
        </w:rPr>
      </w:pPr>
      <w:r w:rsidRPr="00524560">
        <w:rPr>
          <w:b/>
          <w:bCs/>
        </w:rPr>
        <w:t>MECANISMOS DE TRABAJO</w:t>
      </w:r>
    </w:p>
    <w:p w:rsidR="00EE092B" w:rsidRPr="00524560" w:rsidRDefault="00EE092B" w:rsidP="00EE6C95">
      <w:pPr>
        <w:spacing w:after="0"/>
        <w:jc w:val="both"/>
        <w:rPr>
          <w:b/>
          <w:bCs/>
        </w:rPr>
      </w:pPr>
      <w:r w:rsidRPr="00524560">
        <w:rPr>
          <w:b/>
          <w:bCs/>
        </w:rPr>
        <w:t xml:space="preserve">Las reuniones funcionarán en torno a tres modalidades de trabajo interrelacionadas que tiendan a la construcción de una praxis conjunta. Se incorporan así: </w:t>
      </w:r>
    </w:p>
    <w:p w:rsidR="00EE092B" w:rsidRPr="00524560" w:rsidRDefault="00EE092B" w:rsidP="00EE6C95">
      <w:pPr>
        <w:spacing w:after="0"/>
        <w:jc w:val="both"/>
      </w:pPr>
    </w:p>
    <w:p w:rsidR="00EE092B" w:rsidRPr="00524560" w:rsidRDefault="00EE092B" w:rsidP="00EE6C95">
      <w:pPr>
        <w:spacing w:after="0"/>
        <w:jc w:val="both"/>
      </w:pPr>
      <w:r w:rsidRPr="00524560">
        <w:t>Paneles disparadores de las problemáticas a tratar en las mesas generales</w:t>
      </w:r>
      <w:r w:rsidR="00867480">
        <w:t>.</w:t>
      </w:r>
    </w:p>
    <w:p w:rsidR="00EE092B" w:rsidRPr="00524560" w:rsidRDefault="00EE092B" w:rsidP="00EE6C95">
      <w:pPr>
        <w:spacing w:after="0"/>
        <w:jc w:val="both"/>
      </w:pPr>
      <w:r w:rsidRPr="00524560">
        <w:t>Mesas de trabajo que se conformarán de acuerdo a las propuestas recibidas</w:t>
      </w:r>
      <w:r w:rsidR="00867480">
        <w:t>.</w:t>
      </w:r>
      <w:r w:rsidRPr="00524560">
        <w:t xml:space="preserve"> </w:t>
      </w:r>
    </w:p>
    <w:p w:rsidR="00EE092B" w:rsidRPr="00524560" w:rsidRDefault="00EE092B" w:rsidP="00EE6C95">
      <w:pPr>
        <w:spacing w:after="0"/>
        <w:jc w:val="both"/>
      </w:pPr>
      <w:r w:rsidRPr="00524560">
        <w:t>Talleres</w:t>
      </w:r>
      <w:r w:rsidR="00867480">
        <w:t>.</w:t>
      </w:r>
      <w:r w:rsidRPr="00524560">
        <w:t xml:space="preserve"> </w:t>
      </w:r>
    </w:p>
    <w:p w:rsidR="00867480" w:rsidRDefault="00867480" w:rsidP="00867480">
      <w:pPr>
        <w:rPr>
          <w:b/>
          <w:bCs/>
        </w:rPr>
      </w:pPr>
    </w:p>
    <w:p w:rsidR="0054248C" w:rsidRDefault="0054248C" w:rsidP="0054248C">
      <w:pPr>
        <w:rPr>
          <w:b/>
          <w:bCs/>
        </w:rPr>
      </w:pPr>
      <w:r>
        <w:rPr>
          <w:b/>
          <w:bCs/>
        </w:rPr>
        <w:t xml:space="preserve">CRONOGRAMA </w:t>
      </w:r>
    </w:p>
    <w:p w:rsidR="0054248C" w:rsidRDefault="00867480" w:rsidP="0054248C">
      <w:pPr>
        <w:numPr>
          <w:ilvl w:val="0"/>
          <w:numId w:val="3"/>
        </w:numPr>
        <w:spacing w:after="0"/>
        <w:rPr>
          <w:b/>
          <w:bCs/>
        </w:rPr>
      </w:pPr>
      <w:r w:rsidRPr="0054248C">
        <w:rPr>
          <w:b/>
          <w:bCs/>
        </w:rPr>
        <w:t>P</w:t>
      </w:r>
      <w:r w:rsidR="0054248C">
        <w:rPr>
          <w:b/>
          <w:bCs/>
        </w:rPr>
        <w:t>resentación de mesas de traba</w:t>
      </w:r>
      <w:r w:rsidR="003D7A68">
        <w:rPr>
          <w:b/>
          <w:bCs/>
        </w:rPr>
        <w:t>jo</w:t>
      </w:r>
      <w:r w:rsidR="0018522C">
        <w:rPr>
          <w:b/>
          <w:bCs/>
        </w:rPr>
        <w:t xml:space="preserve"> 3 de abril </w:t>
      </w:r>
      <w:r w:rsidR="003D7A68">
        <w:rPr>
          <w:b/>
          <w:bCs/>
        </w:rPr>
        <w:t xml:space="preserve"> de 2018  al</w:t>
      </w:r>
      <w:r w:rsidR="0018522C">
        <w:rPr>
          <w:b/>
          <w:bCs/>
        </w:rPr>
        <w:t xml:space="preserve"> 20 de junio </w:t>
      </w:r>
      <w:r w:rsidR="0054248C">
        <w:rPr>
          <w:b/>
          <w:bCs/>
        </w:rPr>
        <w:t>de 2018</w:t>
      </w:r>
    </w:p>
    <w:p w:rsidR="0054248C" w:rsidRDefault="00867480" w:rsidP="0054248C">
      <w:pPr>
        <w:numPr>
          <w:ilvl w:val="0"/>
          <w:numId w:val="3"/>
        </w:numPr>
        <w:spacing w:after="0"/>
        <w:jc w:val="both"/>
      </w:pPr>
      <w:r w:rsidRPr="0054248C">
        <w:rPr>
          <w:b/>
          <w:bCs/>
        </w:rPr>
        <w:t>Presentación de resúmenes</w:t>
      </w:r>
      <w:r w:rsidR="0054248C">
        <w:rPr>
          <w:b/>
          <w:bCs/>
        </w:rPr>
        <w:t>: 1 de ju</w:t>
      </w:r>
      <w:r w:rsidR="0018522C">
        <w:rPr>
          <w:b/>
          <w:bCs/>
        </w:rPr>
        <w:t>lio al 18 de agosto</w:t>
      </w:r>
    </w:p>
    <w:p w:rsidR="00867480" w:rsidRPr="0054248C" w:rsidRDefault="00867480" w:rsidP="0054248C">
      <w:pPr>
        <w:numPr>
          <w:ilvl w:val="0"/>
          <w:numId w:val="3"/>
        </w:numPr>
        <w:spacing w:after="0"/>
        <w:jc w:val="both"/>
      </w:pPr>
      <w:r w:rsidRPr="0054248C">
        <w:rPr>
          <w:b/>
          <w:bCs/>
        </w:rPr>
        <w:t>Aceptación de resúmenes</w:t>
      </w:r>
      <w:r w:rsidR="0018522C">
        <w:rPr>
          <w:b/>
          <w:bCs/>
        </w:rPr>
        <w:t>: 20 de agosto</w:t>
      </w:r>
    </w:p>
    <w:p w:rsidR="0054248C" w:rsidRDefault="0054248C" w:rsidP="0054248C">
      <w:pPr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Presentación de ponencias: </w:t>
      </w:r>
      <w:r w:rsidR="0018522C">
        <w:rPr>
          <w:b/>
          <w:bCs/>
        </w:rPr>
        <w:t>30 de septiembre al 2</w:t>
      </w:r>
      <w:r>
        <w:rPr>
          <w:b/>
          <w:bCs/>
        </w:rPr>
        <w:t>5 de octubre</w:t>
      </w:r>
      <w:r w:rsidR="00B46F7C">
        <w:rPr>
          <w:b/>
          <w:bCs/>
        </w:rPr>
        <w:t>.</w:t>
      </w:r>
      <w:r>
        <w:rPr>
          <w:b/>
          <w:bCs/>
        </w:rPr>
        <w:t xml:space="preserve">    </w:t>
      </w:r>
    </w:p>
    <w:p w:rsidR="0054248C" w:rsidRDefault="0054248C" w:rsidP="0054248C">
      <w:pPr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Aceptación de ponencias: </w:t>
      </w:r>
      <w:r w:rsidR="0018522C">
        <w:rPr>
          <w:b/>
          <w:bCs/>
        </w:rPr>
        <w:t xml:space="preserve">3 </w:t>
      </w:r>
      <w:r>
        <w:rPr>
          <w:b/>
          <w:bCs/>
        </w:rPr>
        <w:t xml:space="preserve">de </w:t>
      </w:r>
      <w:r w:rsidR="0018522C">
        <w:rPr>
          <w:b/>
          <w:bCs/>
        </w:rPr>
        <w:t>noviembre</w:t>
      </w:r>
    </w:p>
    <w:p w:rsidR="00867480" w:rsidRDefault="00867480" w:rsidP="00B46F7C">
      <w:pPr>
        <w:rPr>
          <w:b/>
          <w:bCs/>
        </w:rPr>
      </w:pPr>
    </w:p>
    <w:p w:rsidR="00EE092B" w:rsidRPr="00524560" w:rsidRDefault="00EE092B" w:rsidP="00576D79">
      <w:pPr>
        <w:spacing w:line="240" w:lineRule="auto"/>
        <w:rPr>
          <w:b/>
          <w:bCs/>
        </w:rPr>
      </w:pPr>
      <w:r w:rsidRPr="00524560">
        <w:rPr>
          <w:b/>
          <w:bCs/>
        </w:rPr>
        <w:t xml:space="preserve">COMITE CIENTIFICO </w:t>
      </w:r>
    </w:p>
    <w:p w:rsidR="00EE092B" w:rsidRPr="00E82159" w:rsidRDefault="00EE092B" w:rsidP="000C0369">
      <w:pPr>
        <w:spacing w:line="240" w:lineRule="auto"/>
        <w:jc w:val="both"/>
        <w:rPr>
          <w:sz w:val="24"/>
          <w:szCs w:val="24"/>
        </w:rPr>
      </w:pPr>
      <w:r w:rsidRPr="00E82159">
        <w:rPr>
          <w:sz w:val="24"/>
          <w:szCs w:val="24"/>
        </w:rPr>
        <w:t>ACOSTA,YAMANDU  (Uruguay), BIAGINI, HUGO (Argentina),</w:t>
      </w:r>
      <w:r w:rsidR="000C0369">
        <w:rPr>
          <w:sz w:val="24"/>
          <w:szCs w:val="24"/>
        </w:rPr>
        <w:t xml:space="preserve"> </w:t>
      </w:r>
      <w:r w:rsidR="00BE38BD">
        <w:rPr>
          <w:sz w:val="24"/>
          <w:szCs w:val="24"/>
        </w:rPr>
        <w:t>BOSSIO</w:t>
      </w:r>
      <w:r w:rsidR="005463F5">
        <w:rPr>
          <w:sz w:val="24"/>
          <w:szCs w:val="24"/>
        </w:rPr>
        <w:t xml:space="preserve">, </w:t>
      </w:r>
      <w:r w:rsidRPr="00E82159">
        <w:rPr>
          <w:sz w:val="24"/>
          <w:szCs w:val="24"/>
        </w:rPr>
        <w:t>BEATRIZ (Paraguay), DE LA FUENTE, JOSE</w:t>
      </w:r>
      <w:r w:rsidR="009F4839" w:rsidRPr="00E82159">
        <w:rPr>
          <w:sz w:val="24"/>
          <w:szCs w:val="24"/>
        </w:rPr>
        <w:t xml:space="preserve"> (Chile),</w:t>
      </w:r>
      <w:r w:rsidR="000C0369">
        <w:rPr>
          <w:sz w:val="24"/>
          <w:szCs w:val="24"/>
        </w:rPr>
        <w:t xml:space="preserve"> </w:t>
      </w:r>
      <w:r w:rsidR="009F4839" w:rsidRPr="00E82159">
        <w:rPr>
          <w:sz w:val="24"/>
          <w:szCs w:val="24"/>
        </w:rPr>
        <w:t>DEVES</w:t>
      </w:r>
      <w:r w:rsidR="000C0369">
        <w:rPr>
          <w:sz w:val="24"/>
          <w:szCs w:val="24"/>
        </w:rPr>
        <w:t>,</w:t>
      </w:r>
      <w:r w:rsidR="005463F5">
        <w:rPr>
          <w:sz w:val="24"/>
          <w:szCs w:val="24"/>
        </w:rPr>
        <w:t xml:space="preserve"> </w:t>
      </w:r>
      <w:r w:rsidR="008656A5">
        <w:rPr>
          <w:sz w:val="24"/>
          <w:szCs w:val="24"/>
        </w:rPr>
        <w:t>EDUARDO</w:t>
      </w:r>
      <w:r w:rsidR="005463F5">
        <w:rPr>
          <w:sz w:val="24"/>
          <w:szCs w:val="24"/>
        </w:rPr>
        <w:t>,</w:t>
      </w:r>
      <w:r w:rsidR="008656A5">
        <w:rPr>
          <w:sz w:val="24"/>
          <w:szCs w:val="24"/>
        </w:rPr>
        <w:t xml:space="preserve"> (Chile), FRIDMAN</w:t>
      </w:r>
      <w:r w:rsidR="000C0369">
        <w:rPr>
          <w:sz w:val="24"/>
          <w:szCs w:val="24"/>
        </w:rPr>
        <w:t>,</w:t>
      </w:r>
      <w:r w:rsidR="008656A5">
        <w:rPr>
          <w:sz w:val="24"/>
          <w:szCs w:val="24"/>
        </w:rPr>
        <w:t>SILVIA</w:t>
      </w:r>
      <w:r w:rsidR="000C0369">
        <w:rPr>
          <w:sz w:val="24"/>
          <w:szCs w:val="24"/>
        </w:rPr>
        <w:t xml:space="preserve"> (Argentina),</w:t>
      </w:r>
      <w:r w:rsidR="005463F5">
        <w:rPr>
          <w:sz w:val="24"/>
          <w:szCs w:val="24"/>
        </w:rPr>
        <w:t xml:space="preserve">JALIF, </w:t>
      </w:r>
      <w:r w:rsidRPr="00E82159">
        <w:rPr>
          <w:sz w:val="24"/>
          <w:szCs w:val="24"/>
        </w:rPr>
        <w:t>CLARA</w:t>
      </w:r>
      <w:r w:rsidR="005463F5">
        <w:rPr>
          <w:sz w:val="24"/>
          <w:szCs w:val="24"/>
        </w:rPr>
        <w:t xml:space="preserve"> </w:t>
      </w:r>
      <w:r w:rsidRPr="00E82159">
        <w:rPr>
          <w:sz w:val="24"/>
          <w:szCs w:val="24"/>
        </w:rPr>
        <w:t xml:space="preserve">(Argentina), LANGON,MAURICIO (Uruguay), MARTINI, STELLA (Argentina), </w:t>
      </w:r>
      <w:r w:rsidR="00E82159">
        <w:rPr>
          <w:sz w:val="24"/>
          <w:szCs w:val="24"/>
        </w:rPr>
        <w:t xml:space="preserve">MELGAR BAO, </w:t>
      </w:r>
      <w:r w:rsidR="000C0369">
        <w:rPr>
          <w:sz w:val="24"/>
          <w:szCs w:val="24"/>
        </w:rPr>
        <w:t>RICARDO</w:t>
      </w:r>
      <w:r w:rsidR="000C0369" w:rsidRPr="00E82159">
        <w:rPr>
          <w:sz w:val="24"/>
          <w:szCs w:val="24"/>
        </w:rPr>
        <w:t xml:space="preserve"> </w:t>
      </w:r>
      <w:r w:rsidR="00E82159" w:rsidRPr="00E82159">
        <w:rPr>
          <w:sz w:val="24"/>
          <w:szCs w:val="24"/>
        </w:rPr>
        <w:t xml:space="preserve">(México), </w:t>
      </w:r>
      <w:r w:rsidR="000C0369">
        <w:rPr>
          <w:sz w:val="24"/>
          <w:szCs w:val="24"/>
        </w:rPr>
        <w:t>OBANDO,ARISTIDES(Colombia)</w:t>
      </w:r>
      <w:r w:rsidRPr="00E82159">
        <w:rPr>
          <w:sz w:val="24"/>
          <w:szCs w:val="24"/>
        </w:rPr>
        <w:t>, PICO</w:t>
      </w:r>
      <w:r w:rsidR="005463F5">
        <w:rPr>
          <w:sz w:val="24"/>
          <w:szCs w:val="24"/>
        </w:rPr>
        <w:t>T</w:t>
      </w:r>
      <w:r w:rsidRPr="00E82159">
        <w:rPr>
          <w:sz w:val="24"/>
          <w:szCs w:val="24"/>
        </w:rPr>
        <w:t>TI,DINA(Argentina),PINEDO,JAVIER(Chile),</w:t>
      </w:r>
      <w:r w:rsidR="008656A5">
        <w:rPr>
          <w:sz w:val="24"/>
          <w:szCs w:val="24"/>
        </w:rPr>
        <w:t>RAMOS</w:t>
      </w:r>
      <w:r w:rsidR="005463F5">
        <w:rPr>
          <w:sz w:val="24"/>
          <w:szCs w:val="24"/>
        </w:rPr>
        <w:t>,ELOISA</w:t>
      </w:r>
      <w:r w:rsidR="008656A5">
        <w:rPr>
          <w:sz w:val="24"/>
          <w:szCs w:val="24"/>
        </w:rPr>
        <w:t>(Brasil),</w:t>
      </w:r>
      <w:r w:rsidRPr="00E82159">
        <w:rPr>
          <w:sz w:val="24"/>
          <w:szCs w:val="24"/>
        </w:rPr>
        <w:t>SARAH,</w:t>
      </w:r>
      <w:r w:rsidR="000C0369">
        <w:rPr>
          <w:sz w:val="24"/>
          <w:szCs w:val="24"/>
        </w:rPr>
        <w:t>DARÍ</w:t>
      </w:r>
      <w:r w:rsidR="000C0369" w:rsidRPr="00E82159">
        <w:rPr>
          <w:sz w:val="24"/>
          <w:szCs w:val="24"/>
        </w:rPr>
        <w:t>O(</w:t>
      </w:r>
      <w:r w:rsidR="000C0369">
        <w:rPr>
          <w:sz w:val="24"/>
          <w:szCs w:val="24"/>
        </w:rPr>
        <w:t>Paraguay),</w:t>
      </w:r>
      <w:r w:rsidRPr="00E82159">
        <w:rPr>
          <w:sz w:val="24"/>
          <w:szCs w:val="24"/>
        </w:rPr>
        <w:t>SIDEKUM,ANTONIO (Brasil)</w:t>
      </w:r>
      <w:r w:rsidR="005463F5">
        <w:rPr>
          <w:sz w:val="24"/>
          <w:szCs w:val="24"/>
        </w:rPr>
        <w:t>, VAZ,</w:t>
      </w:r>
      <w:r w:rsidR="000C0369">
        <w:rPr>
          <w:sz w:val="24"/>
          <w:szCs w:val="24"/>
        </w:rPr>
        <w:t xml:space="preserve"> </w:t>
      </w:r>
      <w:r w:rsidR="005463F5">
        <w:rPr>
          <w:sz w:val="24"/>
          <w:szCs w:val="24"/>
        </w:rPr>
        <w:t>NEUSA</w:t>
      </w:r>
      <w:r w:rsidR="000C0369">
        <w:rPr>
          <w:sz w:val="24"/>
          <w:szCs w:val="24"/>
        </w:rPr>
        <w:t xml:space="preserve"> </w:t>
      </w:r>
      <w:r w:rsidR="005463F5">
        <w:rPr>
          <w:sz w:val="24"/>
          <w:szCs w:val="24"/>
        </w:rPr>
        <w:t xml:space="preserve">(Brasil), </w:t>
      </w:r>
      <w:r w:rsidRPr="00E82159">
        <w:rPr>
          <w:sz w:val="24"/>
          <w:szCs w:val="24"/>
        </w:rPr>
        <w:t>VUSKOVIC ROJO,SERGIO (Chile).</w:t>
      </w:r>
    </w:p>
    <w:p w:rsidR="00EE092B" w:rsidRDefault="00EE092B" w:rsidP="000C0369">
      <w:pPr>
        <w:spacing w:line="240" w:lineRule="auto"/>
        <w:jc w:val="both"/>
      </w:pPr>
      <w:r w:rsidRPr="00524560">
        <w:rPr>
          <w:b/>
          <w:bCs/>
        </w:rPr>
        <w:t xml:space="preserve">COORDINADORA GENERAL: </w:t>
      </w:r>
      <w:r w:rsidRPr="00524560">
        <w:t>Adriana Claudia Rodríguez. Directora del Centro de Estudios Interdisciplinarios sobre Nuestra América: José Martí (CEINA) D</w:t>
      </w:r>
      <w:r w:rsidR="00DF4704">
        <w:t xml:space="preserve">epartamento de Humanidades, Universidad Nacional del Sur, </w:t>
      </w:r>
      <w:r w:rsidRPr="00524560">
        <w:t>Bahía Blanca</w:t>
      </w:r>
      <w:r w:rsidR="00DF4704">
        <w:t>,</w:t>
      </w:r>
      <w:r w:rsidRPr="00524560">
        <w:t xml:space="preserve"> ARGENTINA. Asimismo funcionará un comité organizador con miembros del CEINA, docentes y estudiantes del Departamento de Humanidades y de otras universidades nacionales y latinoamericanas.</w:t>
      </w:r>
    </w:p>
    <w:p w:rsidR="009F4839" w:rsidRPr="00524560" w:rsidRDefault="009F4839" w:rsidP="00576D79">
      <w:pPr>
        <w:spacing w:line="240" w:lineRule="auto"/>
      </w:pPr>
      <w:r>
        <w:t xml:space="preserve">En próximas circulares informaremos cronograma y formas de presentación de resúmenes y trabajos </w:t>
      </w:r>
    </w:p>
    <w:p w:rsidR="00EE092B" w:rsidRPr="00524560" w:rsidRDefault="00EE092B" w:rsidP="004972F1">
      <w:pPr>
        <w:spacing w:line="240" w:lineRule="auto"/>
        <w:jc w:val="center"/>
        <w:rPr>
          <w:b/>
          <w:bCs/>
        </w:rPr>
      </w:pPr>
      <w:r w:rsidRPr="00524560">
        <w:rPr>
          <w:b/>
          <w:bCs/>
        </w:rPr>
        <w:t>Para más información: dirigirse a la casilla de correo electrónico:</w:t>
      </w:r>
    </w:p>
    <w:p w:rsidR="00EE092B" w:rsidRDefault="00192D57" w:rsidP="004972F1">
      <w:pPr>
        <w:spacing w:line="240" w:lineRule="auto"/>
        <w:jc w:val="center"/>
        <w:rPr>
          <w:b/>
          <w:bCs/>
        </w:rPr>
      </w:pPr>
      <w:hyperlink r:id="rId12" w:history="1">
        <w:r w:rsidR="00B46F7C" w:rsidRPr="00257F26">
          <w:rPr>
            <w:rStyle w:val="Hipervnculo"/>
            <w:b/>
            <w:bCs/>
          </w:rPr>
          <w:t>centroceina@gmail.com</w:t>
        </w:r>
      </w:hyperlink>
    </w:p>
    <w:p w:rsidR="00B46F7C" w:rsidRPr="00524560" w:rsidRDefault="00B46F7C" w:rsidP="004972F1">
      <w:pPr>
        <w:spacing w:line="240" w:lineRule="auto"/>
        <w:jc w:val="center"/>
        <w:rPr>
          <w:b/>
          <w:bCs/>
        </w:rPr>
      </w:pPr>
    </w:p>
    <w:sectPr w:rsidR="00B46F7C" w:rsidRPr="00524560" w:rsidSect="00524560">
      <w:pgSz w:w="11906" w:h="16838"/>
      <w:pgMar w:top="652" w:right="567" w:bottom="624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E75"/>
    <w:multiLevelType w:val="hybridMultilevel"/>
    <w:tmpl w:val="83E2E6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D0560E"/>
    <w:multiLevelType w:val="hybridMultilevel"/>
    <w:tmpl w:val="B0A05A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58D1"/>
    <w:multiLevelType w:val="hybridMultilevel"/>
    <w:tmpl w:val="3830D2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F"/>
    <w:rsid w:val="000112ED"/>
    <w:rsid w:val="00034FCD"/>
    <w:rsid w:val="0004336B"/>
    <w:rsid w:val="00067469"/>
    <w:rsid w:val="00067E24"/>
    <w:rsid w:val="000705D3"/>
    <w:rsid w:val="000772FA"/>
    <w:rsid w:val="000C0369"/>
    <w:rsid w:val="00172CDE"/>
    <w:rsid w:val="0018522C"/>
    <w:rsid w:val="00190AE4"/>
    <w:rsid w:val="00192D57"/>
    <w:rsid w:val="001A6E27"/>
    <w:rsid w:val="001C4FA1"/>
    <w:rsid w:val="002014DB"/>
    <w:rsid w:val="00213374"/>
    <w:rsid w:val="00247172"/>
    <w:rsid w:val="00301BCB"/>
    <w:rsid w:val="00314999"/>
    <w:rsid w:val="00331D9B"/>
    <w:rsid w:val="0034236C"/>
    <w:rsid w:val="00363AF1"/>
    <w:rsid w:val="003911F5"/>
    <w:rsid w:val="003A3EB5"/>
    <w:rsid w:val="003D7A68"/>
    <w:rsid w:val="00431947"/>
    <w:rsid w:val="00485A4D"/>
    <w:rsid w:val="004972F1"/>
    <w:rsid w:val="005009CC"/>
    <w:rsid w:val="005159E0"/>
    <w:rsid w:val="00524560"/>
    <w:rsid w:val="00535D44"/>
    <w:rsid w:val="00536853"/>
    <w:rsid w:val="0054248C"/>
    <w:rsid w:val="005463F5"/>
    <w:rsid w:val="00557630"/>
    <w:rsid w:val="00561B97"/>
    <w:rsid w:val="00570D06"/>
    <w:rsid w:val="005733EF"/>
    <w:rsid w:val="00576D79"/>
    <w:rsid w:val="005846EA"/>
    <w:rsid w:val="00585999"/>
    <w:rsid w:val="005C019D"/>
    <w:rsid w:val="005D791E"/>
    <w:rsid w:val="00682DCB"/>
    <w:rsid w:val="00710A0D"/>
    <w:rsid w:val="007C3E17"/>
    <w:rsid w:val="007D15B6"/>
    <w:rsid w:val="007E0174"/>
    <w:rsid w:val="008656A5"/>
    <w:rsid w:val="008660EE"/>
    <w:rsid w:val="00867480"/>
    <w:rsid w:val="00892F61"/>
    <w:rsid w:val="008C28B1"/>
    <w:rsid w:val="008C7B5C"/>
    <w:rsid w:val="008F2992"/>
    <w:rsid w:val="008F578B"/>
    <w:rsid w:val="0092509E"/>
    <w:rsid w:val="00951DA5"/>
    <w:rsid w:val="009520BB"/>
    <w:rsid w:val="00991AF1"/>
    <w:rsid w:val="009F4839"/>
    <w:rsid w:val="00A25B10"/>
    <w:rsid w:val="00A351E2"/>
    <w:rsid w:val="00A83347"/>
    <w:rsid w:val="00A83E5D"/>
    <w:rsid w:val="00AC53FF"/>
    <w:rsid w:val="00B20F60"/>
    <w:rsid w:val="00B26E74"/>
    <w:rsid w:val="00B46F7C"/>
    <w:rsid w:val="00BD1875"/>
    <w:rsid w:val="00BE38BD"/>
    <w:rsid w:val="00BF4BC0"/>
    <w:rsid w:val="00C47A08"/>
    <w:rsid w:val="00D15B71"/>
    <w:rsid w:val="00D174D2"/>
    <w:rsid w:val="00D47848"/>
    <w:rsid w:val="00D963E2"/>
    <w:rsid w:val="00DF4704"/>
    <w:rsid w:val="00E40038"/>
    <w:rsid w:val="00E71857"/>
    <w:rsid w:val="00E74E19"/>
    <w:rsid w:val="00E82159"/>
    <w:rsid w:val="00E95966"/>
    <w:rsid w:val="00EE092B"/>
    <w:rsid w:val="00EE6C95"/>
    <w:rsid w:val="00F47749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25F7C3-DAFD-4C45-898F-3171F5D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F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91AF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991AF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91AF1"/>
    <w:rPr>
      <w:rFonts w:ascii="Calibri Light" w:hAnsi="Calibri Light" w:cs="Calibri Light"/>
      <w:color w:val="2E74B5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91AF1"/>
    <w:rPr>
      <w:rFonts w:ascii="Calibri Light" w:hAnsi="Calibri Light" w:cs="Calibri Light"/>
      <w:color w:val="2E74B5"/>
      <w:sz w:val="26"/>
      <w:szCs w:val="26"/>
      <w:lang w:val="es-AR"/>
    </w:rPr>
  </w:style>
  <w:style w:type="paragraph" w:styleId="Sinespaciado">
    <w:name w:val="No Spacing"/>
    <w:uiPriority w:val="99"/>
    <w:qFormat/>
    <w:rsid w:val="00991AF1"/>
    <w:rPr>
      <w:rFonts w:cs="Calibri"/>
      <w:lang w:eastAsia="en-US"/>
    </w:rPr>
  </w:style>
  <w:style w:type="paragraph" w:styleId="Puesto">
    <w:name w:val="Title"/>
    <w:basedOn w:val="Normal"/>
    <w:next w:val="Normal"/>
    <w:link w:val="TtuloCar"/>
    <w:uiPriority w:val="99"/>
    <w:qFormat/>
    <w:rsid w:val="00991AF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Puesto"/>
    <w:uiPriority w:val="99"/>
    <w:locked/>
    <w:rsid w:val="00991AF1"/>
    <w:rPr>
      <w:rFonts w:ascii="Calibri Light" w:hAnsi="Calibri Light" w:cs="Calibri Light"/>
      <w:spacing w:val="-10"/>
      <w:kern w:val="28"/>
      <w:sz w:val="56"/>
      <w:szCs w:val="56"/>
      <w:lang w:val="es-AR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991AF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991AF1"/>
    <w:rPr>
      <w:i/>
      <w:iCs/>
      <w:color w:val="5B9BD5"/>
      <w:lang w:val="es-AR"/>
    </w:rPr>
  </w:style>
  <w:style w:type="character" w:styleId="nfasisintenso">
    <w:name w:val="Intense Emphasis"/>
    <w:basedOn w:val="Fuentedeprrafopredeter"/>
    <w:uiPriority w:val="99"/>
    <w:qFormat/>
    <w:rsid w:val="00991AF1"/>
    <w:rPr>
      <w:i/>
      <w:iCs/>
      <w:color w:val="5B9BD5"/>
    </w:rPr>
  </w:style>
  <w:style w:type="character" w:styleId="Referenciaintensa">
    <w:name w:val="Intense Reference"/>
    <w:basedOn w:val="Fuentedeprrafopredeter"/>
    <w:uiPriority w:val="99"/>
    <w:qFormat/>
    <w:rsid w:val="00172CDE"/>
    <w:rPr>
      <w:b/>
      <w:bCs/>
      <w:smallCaps/>
      <w:color w:val="5B9BD5"/>
      <w:spacing w:val="5"/>
    </w:rPr>
  </w:style>
  <w:style w:type="paragraph" w:styleId="Textodeglobo">
    <w:name w:val="Balloon Text"/>
    <w:basedOn w:val="Normal"/>
    <w:link w:val="TextodegloboCar"/>
    <w:uiPriority w:val="99"/>
    <w:semiHidden/>
    <w:rsid w:val="00E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95966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rsid w:val="00536853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4972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entroce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chedrese</dc:creator>
  <cp:lastModifiedBy>NRVS</cp:lastModifiedBy>
  <cp:revision>2</cp:revision>
  <dcterms:created xsi:type="dcterms:W3CDTF">2018-04-21T21:03:00Z</dcterms:created>
  <dcterms:modified xsi:type="dcterms:W3CDTF">2018-04-21T21:03:00Z</dcterms:modified>
</cp:coreProperties>
</file>