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83B33" w:rsidRDefault="005C5C7B">
      <w:pPr>
        <w:jc w:val="center"/>
      </w:pPr>
      <w:bookmarkStart w:id="0" w:name="_GoBack"/>
      <w:bookmarkEnd w:id="0"/>
      <w:r>
        <w:rPr>
          <w:b/>
        </w:rPr>
        <w:t>UNIVERSIDADE FEDERAL DE SANTA MARIA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1">
            <wp:simplePos x="0" y="0"/>
            <wp:positionH relativeFrom="margin">
              <wp:posOffset>4785995</wp:posOffset>
            </wp:positionH>
            <wp:positionV relativeFrom="paragraph">
              <wp:posOffset>-320674</wp:posOffset>
            </wp:positionV>
            <wp:extent cx="1300480" cy="785495"/>
            <wp:effectExtent l="0" t="0" r="0" b="0"/>
            <wp:wrapSquare wrapText="bothSides" distT="0" distB="0" distL="114300" distR="114300"/>
            <wp:docPr id="1" name="image02.png" descr="LOGOCC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 descr="LOGOCC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0480" cy="785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0" hidden="0" allowOverlap="1">
            <wp:simplePos x="0" y="0"/>
            <wp:positionH relativeFrom="margin">
              <wp:posOffset>-140969</wp:posOffset>
            </wp:positionH>
            <wp:positionV relativeFrom="paragraph">
              <wp:posOffset>-206374</wp:posOffset>
            </wp:positionV>
            <wp:extent cx="642620" cy="642620"/>
            <wp:effectExtent l="0" t="0" r="0" b="0"/>
            <wp:wrapNone/>
            <wp:docPr id="2" name="image03.png" descr="assinaturas para w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 descr="assinaturas para wor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642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83B33" w:rsidRDefault="005C5C7B">
      <w:pPr>
        <w:jc w:val="center"/>
      </w:pPr>
      <w:r>
        <w:rPr>
          <w:b/>
        </w:rPr>
        <w:t>CENTRO DE CIÊNCIAS DA SAÚDE</w:t>
      </w:r>
    </w:p>
    <w:p w:rsidR="00183B33" w:rsidRDefault="005C5C7B">
      <w:pPr>
        <w:jc w:val="center"/>
      </w:pPr>
      <w:r>
        <w:rPr>
          <w:b/>
        </w:rPr>
        <w:t xml:space="preserve">COMISSÃO DE EXTENSÃO – </w:t>
      </w:r>
      <w:proofErr w:type="spellStart"/>
      <w:r>
        <w:rPr>
          <w:b/>
        </w:rPr>
        <w:t>ComEx</w:t>
      </w:r>
      <w:proofErr w:type="spellEnd"/>
    </w:p>
    <w:p w:rsidR="00183B33" w:rsidRDefault="00183B33"/>
    <w:tbl>
      <w:tblPr>
        <w:tblStyle w:val="a"/>
        <w:tblW w:w="9120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7710"/>
      </w:tblGrid>
      <w:tr w:rsidR="00183B33">
        <w:trPr>
          <w:trHeight w:val="280"/>
        </w:trPr>
        <w:tc>
          <w:tcPr>
            <w:tcW w:w="9120" w:type="dxa"/>
            <w:gridSpan w:val="2"/>
          </w:tcPr>
          <w:p w:rsidR="00183B33" w:rsidRDefault="005C5C7B">
            <w:pPr>
              <w:contextualSpacing w:val="0"/>
              <w:jc w:val="center"/>
            </w:pPr>
            <w:r>
              <w:rPr>
                <w:b/>
                <w:sz w:val="22"/>
                <w:szCs w:val="22"/>
              </w:rPr>
              <w:t xml:space="preserve">  ATA DA REUNIÃO EXTRAORDINÁRIA DA COMISSÃO DE EXTENSÃO DO CCS    </w:t>
            </w:r>
          </w:p>
        </w:tc>
      </w:tr>
      <w:tr w:rsidR="00183B33">
        <w:tc>
          <w:tcPr>
            <w:tcW w:w="1410" w:type="dxa"/>
          </w:tcPr>
          <w:p w:rsidR="00183B33" w:rsidRDefault="005C5C7B">
            <w:pPr>
              <w:contextualSpacing w:val="0"/>
            </w:pPr>
            <w:r>
              <w:rPr>
                <w:b/>
              </w:rPr>
              <w:t>Data</w:t>
            </w:r>
          </w:p>
        </w:tc>
        <w:tc>
          <w:tcPr>
            <w:tcW w:w="7710" w:type="dxa"/>
          </w:tcPr>
          <w:p w:rsidR="00183B33" w:rsidRDefault="005C5C7B">
            <w:pPr>
              <w:contextualSpacing w:val="0"/>
            </w:pPr>
            <w:r>
              <w:t xml:space="preserve">  08/06/16                                                      </w:t>
            </w:r>
          </w:p>
        </w:tc>
      </w:tr>
      <w:tr w:rsidR="00183B33">
        <w:tc>
          <w:tcPr>
            <w:tcW w:w="1410" w:type="dxa"/>
          </w:tcPr>
          <w:p w:rsidR="00183B33" w:rsidRDefault="005C5C7B">
            <w:pPr>
              <w:contextualSpacing w:val="0"/>
            </w:pPr>
            <w:r>
              <w:rPr>
                <w:b/>
              </w:rPr>
              <w:t xml:space="preserve">Ata Nº </w:t>
            </w:r>
          </w:p>
        </w:tc>
        <w:tc>
          <w:tcPr>
            <w:tcW w:w="7710" w:type="dxa"/>
          </w:tcPr>
          <w:p w:rsidR="00183B33" w:rsidRDefault="00183B33">
            <w:pPr>
              <w:contextualSpacing w:val="0"/>
            </w:pPr>
          </w:p>
        </w:tc>
      </w:tr>
      <w:tr w:rsidR="00183B33">
        <w:tc>
          <w:tcPr>
            <w:tcW w:w="1410" w:type="dxa"/>
          </w:tcPr>
          <w:p w:rsidR="00183B33" w:rsidRDefault="005C5C7B">
            <w:pPr>
              <w:contextualSpacing w:val="0"/>
            </w:pPr>
            <w:r>
              <w:rPr>
                <w:b/>
              </w:rPr>
              <w:t>Horário</w:t>
            </w:r>
          </w:p>
        </w:tc>
        <w:tc>
          <w:tcPr>
            <w:tcW w:w="7710" w:type="dxa"/>
          </w:tcPr>
          <w:p w:rsidR="00183B33" w:rsidRDefault="005C5C7B">
            <w:pPr>
              <w:contextualSpacing w:val="0"/>
            </w:pPr>
            <w:r>
              <w:t>Início: 10:00 h                                                       Término: 11:30 h</w:t>
            </w:r>
          </w:p>
        </w:tc>
      </w:tr>
      <w:tr w:rsidR="00183B33">
        <w:tc>
          <w:tcPr>
            <w:tcW w:w="1410" w:type="dxa"/>
          </w:tcPr>
          <w:p w:rsidR="00183B33" w:rsidRDefault="005C5C7B">
            <w:pPr>
              <w:contextualSpacing w:val="0"/>
            </w:pPr>
            <w:r>
              <w:rPr>
                <w:b/>
              </w:rPr>
              <w:t>Local</w:t>
            </w:r>
          </w:p>
        </w:tc>
        <w:tc>
          <w:tcPr>
            <w:tcW w:w="7710" w:type="dxa"/>
          </w:tcPr>
          <w:p w:rsidR="00183B33" w:rsidRDefault="005C5C7B">
            <w:pPr>
              <w:contextualSpacing w:val="0"/>
            </w:pPr>
            <w:r>
              <w:t>Sala 1362 - Sala do Gabinete de Projetos</w:t>
            </w:r>
          </w:p>
        </w:tc>
      </w:tr>
      <w:tr w:rsidR="00183B33">
        <w:tc>
          <w:tcPr>
            <w:tcW w:w="1410" w:type="dxa"/>
          </w:tcPr>
          <w:p w:rsidR="00183B33" w:rsidRDefault="005C5C7B">
            <w:pPr>
              <w:contextualSpacing w:val="0"/>
            </w:pPr>
            <w:r>
              <w:rPr>
                <w:b/>
              </w:rPr>
              <w:t>Presentes</w:t>
            </w:r>
          </w:p>
        </w:tc>
        <w:tc>
          <w:tcPr>
            <w:tcW w:w="7710" w:type="dxa"/>
          </w:tcPr>
          <w:p w:rsidR="00183B33" w:rsidRDefault="005C5C7B">
            <w:pPr>
              <w:contextualSpacing w:val="0"/>
              <w:jc w:val="both"/>
            </w:pPr>
            <w:r>
              <w:t xml:space="preserve">Estela Maris </w:t>
            </w:r>
            <w:proofErr w:type="spellStart"/>
            <w:r>
              <w:t>Jurach</w:t>
            </w:r>
            <w:proofErr w:type="spellEnd"/>
            <w:r>
              <w:t xml:space="preserve">, </w:t>
            </w:r>
            <w:proofErr w:type="spellStart"/>
            <w:r>
              <w:t>Elenir</w:t>
            </w:r>
            <w:proofErr w:type="spellEnd"/>
            <w:r>
              <w:t xml:space="preserve"> </w:t>
            </w:r>
            <w:proofErr w:type="spellStart"/>
            <w:r>
              <w:t>Fedosse</w:t>
            </w:r>
            <w:proofErr w:type="spellEnd"/>
            <w:r>
              <w:t xml:space="preserve">, Marília </w:t>
            </w:r>
            <w:proofErr w:type="spellStart"/>
            <w:r>
              <w:t>Pivetta</w:t>
            </w:r>
            <w:proofErr w:type="spellEnd"/>
            <w:r>
              <w:t xml:space="preserve"> </w:t>
            </w:r>
            <w:proofErr w:type="spellStart"/>
            <w:r>
              <w:t>Rippe</w:t>
            </w:r>
            <w:proofErr w:type="spellEnd"/>
            <w:r>
              <w:t xml:space="preserve">, Priscila de Arruda Trindade, Rafaela </w:t>
            </w:r>
            <w:proofErr w:type="spellStart"/>
            <w:r>
              <w:t>Andolhe</w:t>
            </w:r>
            <w:proofErr w:type="spellEnd"/>
            <w:r>
              <w:t>, Rosa</w:t>
            </w:r>
            <w:r>
              <w:t xml:space="preserve">ngela Marion da Silva, Emily Vivian </w:t>
            </w:r>
            <w:proofErr w:type="spellStart"/>
            <w:r>
              <w:t>Valcarenghi</w:t>
            </w:r>
            <w:proofErr w:type="spellEnd"/>
            <w:r>
              <w:t xml:space="preserve"> e Valéria </w:t>
            </w:r>
            <w:proofErr w:type="spellStart"/>
            <w:r>
              <w:t>Garlet</w:t>
            </w:r>
            <w:proofErr w:type="spellEnd"/>
          </w:p>
        </w:tc>
      </w:tr>
      <w:tr w:rsidR="00183B33">
        <w:tc>
          <w:tcPr>
            <w:tcW w:w="1410" w:type="dxa"/>
          </w:tcPr>
          <w:p w:rsidR="00183B33" w:rsidRDefault="005C5C7B">
            <w:pPr>
              <w:contextualSpacing w:val="0"/>
            </w:pPr>
            <w:r>
              <w:rPr>
                <w:b/>
              </w:rPr>
              <w:t>Pauta</w:t>
            </w:r>
          </w:p>
        </w:tc>
        <w:tc>
          <w:tcPr>
            <w:tcW w:w="7710" w:type="dxa"/>
          </w:tcPr>
          <w:p w:rsidR="00183B33" w:rsidRDefault="005C5C7B">
            <w:pPr>
              <w:numPr>
                <w:ilvl w:val="0"/>
                <w:numId w:val="2"/>
              </w:numPr>
              <w:ind w:hanging="360"/>
            </w:pPr>
            <w:r>
              <w:t xml:space="preserve">Análise e parecer do processo 023081.015070/2016-81, da </w:t>
            </w:r>
            <w:proofErr w:type="spellStart"/>
            <w:r>
              <w:t>profª</w:t>
            </w:r>
            <w:proofErr w:type="spellEnd"/>
            <w:r>
              <w:t xml:space="preserve"> Virgínia Maria Coser</w:t>
            </w:r>
          </w:p>
          <w:p w:rsidR="00183B33" w:rsidRDefault="00183B33">
            <w:pPr>
              <w:ind w:left="720"/>
              <w:contextualSpacing w:val="0"/>
            </w:pPr>
          </w:p>
        </w:tc>
      </w:tr>
      <w:tr w:rsidR="00183B33">
        <w:tc>
          <w:tcPr>
            <w:tcW w:w="1410" w:type="dxa"/>
          </w:tcPr>
          <w:p w:rsidR="00183B33" w:rsidRDefault="00183B33">
            <w:pPr>
              <w:contextualSpacing w:val="0"/>
            </w:pPr>
          </w:p>
        </w:tc>
        <w:tc>
          <w:tcPr>
            <w:tcW w:w="7710" w:type="dxa"/>
          </w:tcPr>
          <w:p w:rsidR="00183B33" w:rsidRDefault="00183B33">
            <w:pPr>
              <w:ind w:left="360"/>
              <w:contextualSpacing w:val="0"/>
            </w:pPr>
          </w:p>
          <w:p w:rsidR="00183B33" w:rsidRDefault="00183B33">
            <w:pPr>
              <w:contextualSpacing w:val="0"/>
            </w:pPr>
          </w:p>
        </w:tc>
      </w:tr>
      <w:tr w:rsidR="00183B33">
        <w:tc>
          <w:tcPr>
            <w:tcW w:w="1410" w:type="dxa"/>
          </w:tcPr>
          <w:p w:rsidR="00183B33" w:rsidRDefault="005C5C7B">
            <w:pPr>
              <w:contextualSpacing w:val="0"/>
            </w:pPr>
            <w:r>
              <w:t>Discussão</w:t>
            </w:r>
          </w:p>
        </w:tc>
        <w:tc>
          <w:tcPr>
            <w:tcW w:w="7710" w:type="dxa"/>
          </w:tcPr>
          <w:p w:rsidR="00183B33" w:rsidRDefault="005C5C7B">
            <w:pPr>
              <w:numPr>
                <w:ilvl w:val="0"/>
                <w:numId w:val="1"/>
              </w:numPr>
              <w:ind w:hanging="360"/>
              <w:jc w:val="both"/>
            </w:pPr>
            <w:r>
              <w:t xml:space="preserve">Foi apresentado o processo aos membros presentes, onde consta o parecer da PROJUR. A Comissão ao analisar a inscrição da ação </w:t>
            </w:r>
            <w:proofErr w:type="spellStart"/>
            <w:r>
              <w:t>extensionista</w:t>
            </w:r>
            <w:proofErr w:type="spellEnd"/>
            <w:r>
              <w:t xml:space="preserve">, na qual a servidora TAE é coordenadora,  tendo como base os </w:t>
            </w:r>
            <w:r>
              <w:rPr>
                <w:b/>
              </w:rPr>
              <w:t>critérios do Edital FIEX/Projetos</w:t>
            </w:r>
            <w:r>
              <w:t>, pelos quais as demai</w:t>
            </w:r>
            <w:r>
              <w:t xml:space="preserve">s ações que concorreram ao mesmo também foram submetidos, verificou que </w:t>
            </w:r>
            <w:r>
              <w:rPr>
                <w:b/>
              </w:rPr>
              <w:t>(1)</w:t>
            </w:r>
            <w:r>
              <w:t xml:space="preserve"> a ação é de Programa: “PROGRAMA DE EXTENSÃO EDUCAÇÃO CONTINUADA EM HEMATOLOGIA ONCOLOGIA PEDIÁTRICA: UMA NOVA ABORDAGEM EDUCATIVA E PRÁTICA NA ATENÇÃO PRIMÁRIA DE SAÚDE PARA O DIAG</w:t>
            </w:r>
            <w:r>
              <w:t xml:space="preserve">NÓSTICO PRECOCE DE NEOPLASIAS NA INFÂNCIA”, ou seja, submeteu ao Edital errado , </w:t>
            </w:r>
            <w:r>
              <w:rPr>
                <w:b/>
              </w:rPr>
              <w:t xml:space="preserve">(2) </w:t>
            </w:r>
            <w:r>
              <w:t xml:space="preserve">não atendeu ao estabelecido no momento da inscrição, pois não anexou documento obrigatório “projeto na íntegra” conforme Relatório SIE 1.2.1.20.1.01, e </w:t>
            </w:r>
            <w:r>
              <w:rPr>
                <w:b/>
              </w:rPr>
              <w:t>(3)</w:t>
            </w:r>
            <w:r>
              <w:t xml:space="preserve"> não tinha statu</w:t>
            </w:r>
            <w:r>
              <w:t xml:space="preserve">s  “em andamento” no SIE até 17:00 do dia 7 de março de 2016 e data de encerramento a partir de 01 de fevereiro de 2017”. Além disto, o projeto no SIE foi registrado e avaliado pelo </w:t>
            </w:r>
            <w:proofErr w:type="spellStart"/>
            <w:r>
              <w:t>GaP</w:t>
            </w:r>
            <w:proofErr w:type="spellEnd"/>
            <w:r>
              <w:t xml:space="preserve">/HUSM, bem como Diretoria de Ensino, Pesquisa e Extensão do HUSM e não </w:t>
            </w:r>
            <w:r>
              <w:t>pelo CCS. Entende-se por estes motivos por manter o indeferimento e sugere-se a PRE que seja criado um recurso para extensão específico para o HUSM, bem como estabelecer em próximo edital que a submissão do coordenador de cada projeto esteja vinculada ao C</w:t>
            </w:r>
            <w:r>
              <w:t>entro onde o mesmo está lotado. Foi redigido um memorando e impressos documentos que serviram de base para discussão.</w:t>
            </w:r>
          </w:p>
          <w:p w:rsidR="00183B33" w:rsidRDefault="005C5C7B">
            <w:pPr>
              <w:numPr>
                <w:ilvl w:val="0"/>
                <w:numId w:val="1"/>
              </w:numPr>
              <w:ind w:hanging="360"/>
              <w:jc w:val="both"/>
            </w:pPr>
            <w:proofErr w:type="spellStart"/>
            <w:r>
              <w:t>Profª</w:t>
            </w:r>
            <w:proofErr w:type="spellEnd"/>
            <w:r>
              <w:t xml:space="preserve"> Estela coloca a questão de abertura do novo Edital FIEX/CCS 2016 - 2, tendo sido redefinidas novo cronograma.</w:t>
            </w:r>
          </w:p>
          <w:p w:rsidR="00183B33" w:rsidRDefault="005C5C7B">
            <w:pPr>
              <w:numPr>
                <w:ilvl w:val="0"/>
                <w:numId w:val="1"/>
              </w:numPr>
              <w:ind w:hanging="360"/>
              <w:jc w:val="both"/>
            </w:pPr>
            <w:proofErr w:type="spellStart"/>
            <w:r>
              <w:t>Profª</w:t>
            </w:r>
            <w:proofErr w:type="spellEnd"/>
            <w:r>
              <w:t xml:space="preserve"> Estela sugere qu</w:t>
            </w:r>
            <w:r>
              <w:t xml:space="preserve">e seja discutida em próxima reunião uma nova data para as reuniões ordinárias da </w:t>
            </w:r>
            <w:proofErr w:type="spellStart"/>
            <w:r>
              <w:t>ComEx</w:t>
            </w:r>
            <w:proofErr w:type="spellEnd"/>
            <w:r>
              <w:t xml:space="preserve">, ou mudança de horário, já que </w:t>
            </w:r>
            <w:proofErr w:type="gramStart"/>
            <w:r>
              <w:t>diversos membros não tem</w:t>
            </w:r>
            <w:proofErr w:type="gramEnd"/>
            <w:r>
              <w:t xml:space="preserve"> horário disponível nas sextas-feiras à tarde.</w:t>
            </w:r>
          </w:p>
          <w:p w:rsidR="00183B33" w:rsidRDefault="00183B33">
            <w:pPr>
              <w:contextualSpacing w:val="0"/>
              <w:jc w:val="both"/>
            </w:pPr>
          </w:p>
          <w:p w:rsidR="00183B33" w:rsidRDefault="00183B33">
            <w:pPr>
              <w:ind w:left="399"/>
              <w:contextualSpacing w:val="0"/>
              <w:jc w:val="both"/>
            </w:pPr>
          </w:p>
        </w:tc>
      </w:tr>
    </w:tbl>
    <w:p w:rsidR="00183B33" w:rsidRDefault="00183B33"/>
    <w:p w:rsidR="00183B33" w:rsidRDefault="005C5C7B">
      <w:pPr>
        <w:tabs>
          <w:tab w:val="left" w:pos="5105"/>
        </w:tabs>
        <w:jc w:val="both"/>
      </w:pPr>
      <w:r>
        <w:rPr>
          <w:sz w:val="16"/>
          <w:szCs w:val="16"/>
        </w:rPr>
        <w:t xml:space="preserve">Emily Vivian </w:t>
      </w:r>
      <w:proofErr w:type="spellStart"/>
      <w:r>
        <w:rPr>
          <w:sz w:val="16"/>
          <w:szCs w:val="16"/>
        </w:rPr>
        <w:t>Valcarenghi</w:t>
      </w:r>
      <w:proofErr w:type="spellEnd"/>
    </w:p>
    <w:p w:rsidR="00183B33" w:rsidRDefault="005C5C7B">
      <w:r>
        <w:rPr>
          <w:sz w:val="16"/>
          <w:szCs w:val="16"/>
        </w:rPr>
        <w:t xml:space="preserve">Membro da Comissão de Extensão e servidora do </w:t>
      </w:r>
      <w:proofErr w:type="spellStart"/>
      <w:r>
        <w:rPr>
          <w:sz w:val="16"/>
          <w:szCs w:val="16"/>
        </w:rPr>
        <w:t>GaP</w:t>
      </w:r>
      <w:proofErr w:type="spellEnd"/>
      <w:r>
        <w:rPr>
          <w:sz w:val="16"/>
          <w:szCs w:val="16"/>
        </w:rPr>
        <w:t>/CCS.</w:t>
      </w:r>
    </w:p>
    <w:sectPr w:rsidR="00183B33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B0C56"/>
    <w:multiLevelType w:val="multilevel"/>
    <w:tmpl w:val="FBF23F0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7BE26C27"/>
    <w:multiLevelType w:val="multilevel"/>
    <w:tmpl w:val="AD74B14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33"/>
    <w:rsid w:val="00183B33"/>
    <w:rsid w:val="005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57972-CA26-4BA7-86BC-9283C6AD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5C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cp:lastPrinted>2016-06-22T12:17:00Z</cp:lastPrinted>
  <dcterms:created xsi:type="dcterms:W3CDTF">2016-06-22T12:17:00Z</dcterms:created>
  <dcterms:modified xsi:type="dcterms:W3CDTF">2016-06-22T12:17:00Z</dcterms:modified>
</cp:coreProperties>
</file>