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anchor behindDoc="0" distT="0" distB="0" distL="133350" distR="114300" simplePos="0" locked="0" layoutInCell="1" allowOverlap="1" relativeHeight="2">
            <wp:simplePos x="0" y="0"/>
            <wp:positionH relativeFrom="column">
              <wp:posOffset>2171065</wp:posOffset>
            </wp:positionH>
            <wp:positionV relativeFrom="paragraph">
              <wp:posOffset>-453390</wp:posOffset>
            </wp:positionV>
            <wp:extent cx="767715" cy="722630"/>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67715" cy="722630"/>
                    </a:xfrm>
                    <a:prstGeom prst="rect">
                      <a:avLst/>
                    </a:prstGeom>
                  </pic:spPr>
                </pic:pic>
              </a:graphicData>
            </a:graphic>
          </wp:anchor>
        </w:drawing>
      </w:r>
    </w:p>
    <w:p>
      <w:pPr>
        <w:pStyle w:val="Normal"/>
        <w:spacing w:before="0" w:after="0"/>
        <w:jc w:val="center"/>
        <w:rPr>
          <w:rFonts w:ascii="Times New Roman" w:hAnsi="Times New Roman" w:cs="Times New Roman"/>
        </w:rPr>
      </w:pPr>
      <w:r>
        <w:rPr>
          <w:rFonts w:cs="Times New Roman" w:ascii="Times New Roman" w:hAnsi="Times New Roman"/>
        </w:rPr>
        <w:tab/>
        <w:tab/>
        <w:tab/>
      </w:r>
    </w:p>
    <w:p>
      <w:pPr>
        <w:pStyle w:val="Normal"/>
        <w:spacing w:before="0" w:after="0"/>
        <w:jc w:val="center"/>
        <w:rPr>
          <w:rFonts w:ascii="Times New Roman" w:hAnsi="Times New Roman" w:cs="Times New Roman"/>
          <w:caps/>
        </w:rPr>
      </w:pPr>
      <w:r>
        <w:rPr>
          <w:rFonts w:cs="Times New Roman" w:ascii="Times New Roman" w:hAnsi="Times New Roman"/>
          <w:caps/>
        </w:rPr>
        <w:t>Universidade Federal de Santa Maria</w:t>
      </w:r>
    </w:p>
    <w:p>
      <w:pPr>
        <w:pStyle w:val="Normal"/>
        <w:spacing w:before="0" w:after="0"/>
        <w:jc w:val="center"/>
        <w:rPr>
          <w:rFonts w:ascii="Times New Roman" w:hAnsi="Times New Roman" w:cs="Times New Roman"/>
          <w:caps/>
        </w:rPr>
      </w:pPr>
      <w:r>
        <w:rPr>
          <w:rFonts w:cs="Times New Roman" w:ascii="Times New Roman" w:hAnsi="Times New Roman"/>
          <w:caps/>
        </w:rPr>
        <w:t>Centro de Ciência da Saúde</w:t>
      </w:r>
    </w:p>
    <w:p>
      <w:pPr>
        <w:pStyle w:val="Normal"/>
        <w:spacing w:before="0" w:after="0"/>
        <w:jc w:val="center"/>
        <w:rPr>
          <w:rFonts w:ascii="Times New Roman" w:hAnsi="Times New Roman" w:cs="Times New Roman"/>
        </w:rPr>
      </w:pPr>
      <w:r>
        <w:rPr>
          <w:rFonts w:cs="Times New Roman" w:ascii="Times New Roman" w:hAnsi="Times New Roman"/>
          <w:caps/>
        </w:rPr>
        <w:t xml:space="preserve">COMISSÃO DE EXTENSÃO – </w:t>
      </w:r>
      <w:r>
        <w:rPr>
          <w:rFonts w:cs="Times New Roman" w:ascii="Times New Roman" w:hAnsi="Times New Roman"/>
        </w:rPr>
        <w:t>Comex</w:t>
      </w:r>
    </w:p>
    <w:p>
      <w:pPr>
        <w:pStyle w:val="Normal"/>
        <w:spacing w:before="0" w:after="0"/>
        <w:jc w:val="center"/>
        <w:rPr>
          <w:rFonts w:ascii="Times New Roman" w:hAnsi="Times New Roman" w:cs="Times New Roman"/>
          <w:caps/>
        </w:rPr>
      </w:pPr>
      <w:r>
        <w:rPr>
          <w:rFonts w:cs="Times New Roman" w:ascii="Times New Roman" w:hAnsi="Times New Roman"/>
          <w:caps/>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ind w:left="-142" w:right="-568" w:hanging="0"/>
        <w:jc w:val="center"/>
        <w:rPr>
          <w:rFonts w:ascii="Times New Roman" w:hAnsi="Times New Roman" w:cs="Times New Roman"/>
          <w:sz w:val="32"/>
          <w:szCs w:val="32"/>
        </w:rPr>
      </w:pPr>
      <w:r>
        <w:rPr>
          <w:rFonts w:cs="Times New Roman" w:ascii="Times New Roman" w:hAnsi="Times New Roman"/>
          <w:sz w:val="32"/>
          <w:szCs w:val="32"/>
        </w:rPr>
        <w:t>ATA 6/2017 – Comissão de extensão</w:t>
      </w:r>
    </w:p>
    <w:p>
      <w:pPr>
        <w:pStyle w:val="Normal"/>
        <w:spacing w:before="0" w:after="0"/>
        <w:ind w:left="-142" w:right="-568" w:hanging="0"/>
        <w:jc w:val="center"/>
        <w:rPr>
          <w:rFonts w:ascii="Times New Roman" w:hAnsi="Times New Roman" w:cs="Times New Roman"/>
          <w:sz w:val="32"/>
          <w:szCs w:val="32"/>
        </w:rPr>
      </w:pPr>
      <w:r>
        <w:rPr>
          <w:rFonts w:cs="Times New Roman" w:ascii="Times New Roman" w:hAnsi="Times New Roman"/>
          <w:sz w:val="32"/>
          <w:szCs w:val="32"/>
        </w:rPr>
      </w:r>
    </w:p>
    <w:p>
      <w:pPr>
        <w:pStyle w:val="Normal"/>
        <w:spacing w:before="0" w:after="0"/>
        <w:ind w:left="-142" w:right="-568" w:hanging="0"/>
        <w:jc w:val="center"/>
        <w:rPr>
          <w:rFonts w:ascii="Times New Roman" w:hAnsi="Times New Roman" w:cs="Times New Roman"/>
          <w:sz w:val="32"/>
          <w:szCs w:val="32"/>
        </w:rPr>
      </w:pPr>
      <w:r>
        <w:rPr>
          <w:rFonts w:cs="Times New Roman" w:ascii="Times New Roman" w:hAnsi="Times New Roman"/>
          <w:sz w:val="32"/>
          <w:szCs w:val="32"/>
        </w:rPr>
      </w:r>
    </w:p>
    <w:p>
      <w:pPr>
        <w:pStyle w:val="Normal"/>
        <w:widowControl w:val="false"/>
        <w:spacing w:lineRule="auto" w:line="240" w:before="0" w:after="0"/>
        <w:jc w:val="both"/>
        <w:rPr>
          <w:rFonts w:ascii="Arial" w:hAnsi="Arial" w:cs="Arial"/>
          <w:color w:val="0D0D0D" w:themeColor="text1" w:themeTint="f2"/>
          <w:sz w:val="24"/>
          <w:szCs w:val="24"/>
        </w:rPr>
      </w:pPr>
      <w:r>
        <w:rPr>
          <w:rFonts w:cs="Arial" w:ascii="Arial" w:hAnsi="Arial"/>
          <w:color w:val="0D0D0D" w:themeColor="text1" w:themeTint="f2"/>
          <w:sz w:val="24"/>
          <w:szCs w:val="24"/>
        </w:rPr>
        <w:t xml:space="preserve">A 31 dias de março do ano de dois mil e dezessete reuniu-se a Comissão de extensão (Comex), composta pelos professores (as) Rosangêla Marion, </w:t>
      </w:r>
      <w:r>
        <w:rPr>
          <w:rFonts w:cs="Arial" w:ascii="Arial" w:hAnsi="Arial"/>
          <w:color w:val="0D0D0D" w:themeColor="text1" w:themeTint="f2"/>
          <w:sz w:val="24"/>
          <w:szCs w:val="24"/>
          <w:shd w:fill="FFFFFF" w:val="clear"/>
        </w:rPr>
        <w:t xml:space="preserve">Estela Maris Jurach, Priscila de Arruda Trindade, André Valle de Bairros, Valdete Alves Valentins dos Santos Filha, Guilherme Bochi, Rafaela Andolhe, Adriane Schmidt Pasqualoto, Liliane de Freitas Bauermann, Michele Forgiarini Saccol e Técnicos Administrativos Vanessa Amaral Ribeiro e Charlene Cavalheiros de Menezes na </w:t>
      </w:r>
      <w:r>
        <w:rPr>
          <w:rFonts w:cs="Arial" w:ascii="Arial" w:hAnsi="Arial"/>
          <w:color w:val="0D0D0D" w:themeColor="text1" w:themeTint="f2"/>
          <w:sz w:val="24"/>
          <w:szCs w:val="24"/>
        </w:rPr>
        <w:t xml:space="preserve">Sala de Reunião do Centro de Ciências da Saúde (CCS) da UFSM. Em um primeiro momento, foram discutidos os critérios de reavaliação dos projetos/programas que solicitam recurso e a Comex decidiu que a revisão dos mesmos será realizada de forma geral, não priorizando o item descrito pelos solicitantes. Além disso, a Comex decidiu que o critério de classificação adotado (por notas) para a distribuição dos recursos financeiros FIEX permanecerá o mesmo. No entanto, para os demais projetos/programas que obtiveram notas acima de 7,0 receberam uma comunicado sobre a possibilidade de receber bolsas de extensão que poderá ser disponibilizada pelo centro no CCS. Essa possibilidade de fornecimento de bolsas de extensão foi notificado pelo diretor do CCS </w:t>
      </w:r>
      <w:r>
        <w:rPr>
          <w:rFonts w:cs="Arial" w:ascii="Arial" w:hAnsi="Arial"/>
          <w:color w:val="0D0D0D" w:themeColor="text1" w:themeTint="f2"/>
          <w:sz w:val="24"/>
          <w:szCs w:val="24"/>
          <w:shd w:fill="FFFFFF" w:val="clear"/>
        </w:rPr>
        <w:t>José Edson Paz da Silva, na reunião extraordinário realizada no dia 29/03/2017 com a presidente (Estela Maris Jurach) e vice-presidente (</w:t>
      </w:r>
      <w:r>
        <w:rPr>
          <w:rFonts w:cs="Arial" w:ascii="Arial" w:hAnsi="Arial"/>
          <w:color w:val="0D0D0D" w:themeColor="text1" w:themeTint="f2"/>
          <w:sz w:val="24"/>
          <w:szCs w:val="24"/>
        </w:rPr>
        <w:t>Rosangêla Marion)</w:t>
      </w:r>
      <w:r>
        <w:rPr>
          <w:rFonts w:cs="Arial" w:ascii="Arial" w:hAnsi="Arial"/>
          <w:color w:val="0D0D0D" w:themeColor="text1" w:themeTint="f2"/>
          <w:sz w:val="24"/>
          <w:szCs w:val="24"/>
          <w:shd w:fill="FFFFFF" w:val="clear"/>
        </w:rPr>
        <w:t xml:space="preserve"> da Comex. Finalizando, a Comex decidiu que o projeto que ultrapassar o número máximo de caracteres (200) será indeferido.</w:t>
      </w:r>
      <w:r>
        <w:rPr>
          <w:rFonts w:cs="Arial" w:ascii="Arial" w:hAnsi="Arial"/>
          <w:color w:val="0D0D0D" w:themeColor="text1" w:themeTint="f2"/>
          <w:sz w:val="24"/>
          <w:szCs w:val="24"/>
        </w:rPr>
        <w:t xml:space="preserve"> </w:t>
      </w:r>
      <w:r>
        <w:rPr>
          <w:rFonts w:eastAsia="Times New Roman" w:cs="Arial" w:ascii="Arial" w:hAnsi="Arial"/>
          <w:color w:val="000000" w:themeColor="text1"/>
          <w:sz w:val="24"/>
          <w:szCs w:val="24"/>
          <w:lang w:eastAsia="pt-BR"/>
        </w:rPr>
        <w:t>Nada a mais a constar, a ata será assinada pelos membros da Comissão de Extensão.</w:t>
      </w:r>
      <w:r>
        <w:rPr>
          <w:rFonts w:cs="Arial" w:ascii="Arial" w:hAnsi="Arial"/>
          <w:sz w:val="24"/>
          <w:szCs w:val="24"/>
        </w:rPr>
        <w:t xml:space="preserve"> </w:t>
      </w:r>
    </w:p>
    <w:p>
      <w:pPr>
        <w:pStyle w:val="Normal"/>
        <w:shd w:val="clear" w:color="auto" w:fill="FFFFFF"/>
        <w:spacing w:before="0" w:after="0"/>
        <w:jc w:val="both"/>
        <w:rPr/>
      </w:pPr>
      <w:r>
        <w:rPr/>
      </w:r>
    </w:p>
    <w:sectPr>
      <w:type w:val="nextPage"/>
      <w:pgSz w:w="11906" w:h="16838"/>
      <w:pgMar w:left="1701" w:right="1701" w:header="0" w:top="1417" w:footer="0" w:bottom="1417" w:gutter="0"/>
      <w:lnNumType w:countBy="1" w:restart="continuou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6d5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0209db"/>
    <w:rPr>
      <w:rFonts w:ascii="Tahoma" w:hAnsi="Tahoma" w:cs="Tahoma"/>
      <w:sz w:val="16"/>
      <w:szCs w:val="16"/>
    </w:rPr>
  </w:style>
  <w:style w:type="character" w:styleId="Appleconvertedspace" w:customStyle="1">
    <w:name w:val="apple-converted-space"/>
    <w:basedOn w:val="DefaultParagraphFont"/>
    <w:qFormat/>
    <w:rsid w:val="00f72ca8"/>
    <w:rPr/>
  </w:style>
  <w:style w:type="character" w:styleId="Linenumber">
    <w:name w:val="line number"/>
    <w:basedOn w:val="DefaultParagraphFont"/>
    <w:uiPriority w:val="99"/>
    <w:semiHidden/>
    <w:unhideWhenUsed/>
    <w:qFormat/>
    <w:rsid w:val="00505595"/>
    <w:rPr/>
  </w:style>
  <w:style w:type="character" w:styleId="ListLabel1">
    <w:name w:val="ListLabel 1"/>
    <w:qFormat/>
    <w:rPr>
      <w:rFonts w:eastAsia="Arial" w:cs="Arial"/>
      <w:color w:val="222222"/>
      <w:position w:val="0"/>
      <w:sz w:val="20"/>
      <w:sz w:val="20"/>
      <w:szCs w:val="20"/>
      <w:vertAlign w:val="baseline"/>
    </w:rPr>
  </w:style>
  <w:style w:type="character" w:styleId="ListLabel2">
    <w:name w:val="ListLabel 2"/>
    <w:qFormat/>
    <w:rPr>
      <w:position w:val="0"/>
      <w:sz w:val="22"/>
      <w:vertAlign w:val="baseline"/>
    </w:rPr>
  </w:style>
  <w:style w:type="character" w:styleId="ListLabel3">
    <w:name w:val="ListLabel 3"/>
    <w:qFormat/>
    <w:rPr>
      <w:position w:val="0"/>
      <w:sz w:val="22"/>
      <w:vertAlign w:val="baseline"/>
    </w:rPr>
  </w:style>
  <w:style w:type="character" w:styleId="ListLabel4">
    <w:name w:val="ListLabel 4"/>
    <w:qFormat/>
    <w:rPr>
      <w:position w:val="0"/>
      <w:sz w:val="22"/>
      <w:vertAlign w:val="baseline"/>
    </w:rPr>
  </w:style>
  <w:style w:type="character" w:styleId="ListLabel5">
    <w:name w:val="ListLabel 5"/>
    <w:qFormat/>
    <w:rPr>
      <w:position w:val="0"/>
      <w:sz w:val="22"/>
      <w:vertAlign w:val="baseline"/>
    </w:rPr>
  </w:style>
  <w:style w:type="character" w:styleId="ListLabel6">
    <w:name w:val="ListLabel 6"/>
    <w:qFormat/>
    <w:rPr>
      <w:position w:val="0"/>
      <w:sz w:val="22"/>
      <w:vertAlign w:val="baseline"/>
    </w:rPr>
  </w:style>
  <w:style w:type="character" w:styleId="ListLabel7">
    <w:name w:val="ListLabel 7"/>
    <w:qFormat/>
    <w:rPr>
      <w:position w:val="0"/>
      <w:sz w:val="22"/>
      <w:vertAlign w:val="baseline"/>
    </w:rPr>
  </w:style>
  <w:style w:type="character" w:styleId="ListLabel8">
    <w:name w:val="ListLabel 8"/>
    <w:qFormat/>
    <w:rPr>
      <w:position w:val="0"/>
      <w:sz w:val="22"/>
      <w:vertAlign w:val="baseline"/>
    </w:rPr>
  </w:style>
  <w:style w:type="character" w:styleId="ListLabel9">
    <w:name w:val="ListLabel 9"/>
    <w:qFormat/>
    <w:rPr>
      <w:position w:val="0"/>
      <w:sz w:val="22"/>
      <w:vertAlign w:val="baseline"/>
    </w:rPr>
  </w:style>
  <w:style w:type="character" w:styleId="ListLabel10">
    <w:name w:val="ListLabel 10"/>
    <w:qFormat/>
    <w:rPr>
      <w:rFonts w:eastAsia="Arial" w:cs="Arial"/>
      <w:color w:val="222222"/>
      <w:position w:val="0"/>
      <w:sz w:val="20"/>
      <w:sz w:val="20"/>
      <w:szCs w:val="20"/>
      <w:vertAlign w:val="baseline"/>
    </w:rPr>
  </w:style>
  <w:style w:type="character" w:styleId="ListLabel11">
    <w:name w:val="ListLabel 11"/>
    <w:qFormat/>
    <w:rPr>
      <w:position w:val="0"/>
      <w:sz w:val="22"/>
      <w:vertAlign w:val="baseline"/>
    </w:rPr>
  </w:style>
  <w:style w:type="character" w:styleId="ListLabel12">
    <w:name w:val="ListLabel 12"/>
    <w:qFormat/>
    <w:rPr>
      <w:position w:val="0"/>
      <w:sz w:val="22"/>
      <w:vertAlign w:val="baseline"/>
    </w:rPr>
  </w:style>
  <w:style w:type="character" w:styleId="ListLabel13">
    <w:name w:val="ListLabel 13"/>
    <w:qFormat/>
    <w:rPr>
      <w:position w:val="0"/>
      <w:sz w:val="22"/>
      <w:vertAlign w:val="baseline"/>
    </w:rPr>
  </w:style>
  <w:style w:type="character" w:styleId="ListLabel14">
    <w:name w:val="ListLabel 14"/>
    <w:qFormat/>
    <w:rPr>
      <w:position w:val="0"/>
      <w:sz w:val="22"/>
      <w:vertAlign w:val="baseline"/>
    </w:rPr>
  </w:style>
  <w:style w:type="character" w:styleId="ListLabel15">
    <w:name w:val="ListLabel 15"/>
    <w:qFormat/>
    <w:rPr>
      <w:position w:val="0"/>
      <w:sz w:val="22"/>
      <w:vertAlign w:val="baseline"/>
    </w:rPr>
  </w:style>
  <w:style w:type="character" w:styleId="ListLabel16">
    <w:name w:val="ListLabel 16"/>
    <w:qFormat/>
    <w:rPr>
      <w:position w:val="0"/>
      <w:sz w:val="22"/>
      <w:vertAlign w:val="baseline"/>
    </w:rPr>
  </w:style>
  <w:style w:type="character" w:styleId="ListLabel17">
    <w:name w:val="ListLabel 17"/>
    <w:qFormat/>
    <w:rPr>
      <w:position w:val="0"/>
      <w:sz w:val="22"/>
      <w:vertAlign w:val="baseline"/>
    </w:rPr>
  </w:style>
  <w:style w:type="character" w:styleId="ListLabel18">
    <w:name w:val="ListLabel 18"/>
    <w:qFormat/>
    <w:rPr>
      <w:position w:val="0"/>
      <w:sz w:val="22"/>
      <w:vertAlign w:val="baseline"/>
    </w:rPr>
  </w:style>
  <w:style w:type="character" w:styleId="ListLabel19">
    <w:name w:val="ListLabel 19"/>
    <w:qFormat/>
    <w:rPr>
      <w:rFonts w:eastAsia="Arial" w:cs="Arial"/>
      <w:color w:val="222222"/>
      <w:position w:val="0"/>
      <w:sz w:val="20"/>
      <w:sz w:val="20"/>
      <w:szCs w:val="20"/>
      <w:vertAlign w:val="baseline"/>
    </w:rPr>
  </w:style>
  <w:style w:type="character" w:styleId="ListLabel20">
    <w:name w:val="ListLabel 20"/>
    <w:qFormat/>
    <w:rPr>
      <w:position w:val="0"/>
      <w:sz w:val="22"/>
      <w:vertAlign w:val="baseline"/>
    </w:rPr>
  </w:style>
  <w:style w:type="character" w:styleId="ListLabel21">
    <w:name w:val="ListLabel 21"/>
    <w:qFormat/>
    <w:rPr>
      <w:position w:val="0"/>
      <w:sz w:val="22"/>
      <w:vertAlign w:val="baseline"/>
    </w:rPr>
  </w:style>
  <w:style w:type="character" w:styleId="ListLabel22">
    <w:name w:val="ListLabel 22"/>
    <w:qFormat/>
    <w:rPr>
      <w:position w:val="0"/>
      <w:sz w:val="22"/>
      <w:vertAlign w:val="baseline"/>
    </w:rPr>
  </w:style>
  <w:style w:type="character" w:styleId="ListLabel23">
    <w:name w:val="ListLabel 23"/>
    <w:qFormat/>
    <w:rPr>
      <w:position w:val="0"/>
      <w:sz w:val="22"/>
      <w:vertAlign w:val="baseline"/>
    </w:rPr>
  </w:style>
  <w:style w:type="character" w:styleId="ListLabel24">
    <w:name w:val="ListLabel 24"/>
    <w:qFormat/>
    <w:rPr>
      <w:position w:val="0"/>
      <w:sz w:val="22"/>
      <w:vertAlign w:val="baseline"/>
    </w:rPr>
  </w:style>
  <w:style w:type="character" w:styleId="ListLabel25">
    <w:name w:val="ListLabel 25"/>
    <w:qFormat/>
    <w:rPr>
      <w:position w:val="0"/>
      <w:sz w:val="22"/>
      <w:vertAlign w:val="baseline"/>
    </w:rPr>
  </w:style>
  <w:style w:type="character" w:styleId="ListLabel26">
    <w:name w:val="ListLabel 26"/>
    <w:qFormat/>
    <w:rPr>
      <w:position w:val="0"/>
      <w:sz w:val="22"/>
      <w:vertAlign w:val="baseline"/>
    </w:rPr>
  </w:style>
  <w:style w:type="character" w:styleId="ListLabel27">
    <w:name w:val="ListLabel 27"/>
    <w:qFormat/>
    <w:rPr>
      <w:position w:val="0"/>
      <w:sz w:val="22"/>
      <w:vertAlign w:val="baseline"/>
    </w:rPr>
  </w:style>
  <w:style w:type="character" w:styleId="ListLabel28">
    <w:name w:val="ListLabel 28"/>
    <w:qFormat/>
    <w:rPr>
      <w:rFonts w:eastAsia="Arial" w:cs="Arial"/>
      <w:color w:val="222222"/>
      <w:position w:val="0"/>
      <w:sz w:val="20"/>
      <w:sz w:val="20"/>
      <w:szCs w:val="20"/>
      <w:vertAlign w:val="baseline"/>
    </w:rPr>
  </w:style>
  <w:style w:type="character" w:styleId="ListLabel29">
    <w:name w:val="ListLabel 29"/>
    <w:qFormat/>
    <w:rPr>
      <w:position w:val="0"/>
      <w:sz w:val="22"/>
      <w:vertAlign w:val="baseline"/>
    </w:rPr>
  </w:style>
  <w:style w:type="character" w:styleId="ListLabel30">
    <w:name w:val="ListLabel 30"/>
    <w:qFormat/>
    <w:rPr>
      <w:position w:val="0"/>
      <w:sz w:val="22"/>
      <w:vertAlign w:val="baseline"/>
    </w:rPr>
  </w:style>
  <w:style w:type="character" w:styleId="ListLabel31">
    <w:name w:val="ListLabel 31"/>
    <w:qFormat/>
    <w:rPr>
      <w:position w:val="0"/>
      <w:sz w:val="22"/>
      <w:vertAlign w:val="baseline"/>
    </w:rPr>
  </w:style>
  <w:style w:type="character" w:styleId="ListLabel32">
    <w:name w:val="ListLabel 32"/>
    <w:qFormat/>
    <w:rPr>
      <w:position w:val="0"/>
      <w:sz w:val="22"/>
      <w:vertAlign w:val="baseline"/>
    </w:rPr>
  </w:style>
  <w:style w:type="character" w:styleId="ListLabel33">
    <w:name w:val="ListLabel 33"/>
    <w:qFormat/>
    <w:rPr>
      <w:position w:val="0"/>
      <w:sz w:val="22"/>
      <w:vertAlign w:val="baseline"/>
    </w:rPr>
  </w:style>
  <w:style w:type="character" w:styleId="ListLabel34">
    <w:name w:val="ListLabel 34"/>
    <w:qFormat/>
    <w:rPr>
      <w:position w:val="0"/>
      <w:sz w:val="22"/>
      <w:vertAlign w:val="baseline"/>
    </w:rPr>
  </w:style>
  <w:style w:type="character" w:styleId="ListLabel35">
    <w:name w:val="ListLabel 35"/>
    <w:qFormat/>
    <w:rPr>
      <w:position w:val="0"/>
      <w:sz w:val="22"/>
      <w:vertAlign w:val="baseline"/>
    </w:rPr>
  </w:style>
  <w:style w:type="character" w:styleId="ListLabel36">
    <w:name w:val="ListLabel 36"/>
    <w:qFormat/>
    <w:rPr>
      <w:position w:val="0"/>
      <w:sz w:val="22"/>
      <w:vertAlign w:val="baseline"/>
    </w:rPr>
  </w:style>
  <w:style w:type="character" w:styleId="ListLabel37">
    <w:name w:val="ListLabel 37"/>
    <w:qFormat/>
    <w:rPr>
      <w:rFonts w:eastAsia="Arial" w:cs="Arial"/>
      <w:color w:val="222222"/>
      <w:position w:val="0"/>
      <w:sz w:val="20"/>
      <w:sz w:val="20"/>
      <w:szCs w:val="20"/>
      <w:vertAlign w:val="baseline"/>
    </w:rPr>
  </w:style>
  <w:style w:type="character" w:styleId="ListLabel38">
    <w:name w:val="ListLabel 38"/>
    <w:qFormat/>
    <w:rPr>
      <w:position w:val="0"/>
      <w:sz w:val="22"/>
      <w:vertAlign w:val="baseline"/>
    </w:rPr>
  </w:style>
  <w:style w:type="character" w:styleId="ListLabel39">
    <w:name w:val="ListLabel 39"/>
    <w:qFormat/>
    <w:rPr>
      <w:position w:val="0"/>
      <w:sz w:val="22"/>
      <w:vertAlign w:val="baseline"/>
    </w:rPr>
  </w:style>
  <w:style w:type="character" w:styleId="ListLabel40">
    <w:name w:val="ListLabel 40"/>
    <w:qFormat/>
    <w:rPr>
      <w:position w:val="0"/>
      <w:sz w:val="22"/>
      <w:vertAlign w:val="baseline"/>
    </w:rPr>
  </w:style>
  <w:style w:type="character" w:styleId="ListLabel41">
    <w:name w:val="ListLabel 41"/>
    <w:qFormat/>
    <w:rPr>
      <w:position w:val="0"/>
      <w:sz w:val="22"/>
      <w:vertAlign w:val="baseline"/>
    </w:rPr>
  </w:style>
  <w:style w:type="character" w:styleId="ListLabel42">
    <w:name w:val="ListLabel 42"/>
    <w:qFormat/>
    <w:rPr>
      <w:position w:val="0"/>
      <w:sz w:val="22"/>
      <w:vertAlign w:val="baseline"/>
    </w:rPr>
  </w:style>
  <w:style w:type="character" w:styleId="ListLabel43">
    <w:name w:val="ListLabel 43"/>
    <w:qFormat/>
    <w:rPr>
      <w:position w:val="0"/>
      <w:sz w:val="22"/>
      <w:vertAlign w:val="baseline"/>
    </w:rPr>
  </w:style>
  <w:style w:type="character" w:styleId="ListLabel44">
    <w:name w:val="ListLabel 44"/>
    <w:qFormat/>
    <w:rPr>
      <w:position w:val="0"/>
      <w:sz w:val="22"/>
      <w:vertAlign w:val="baseline"/>
    </w:rPr>
  </w:style>
  <w:style w:type="character" w:styleId="ListLabel45">
    <w:name w:val="ListLabel 45"/>
    <w:qFormat/>
    <w:rPr>
      <w:position w:val="0"/>
      <w:sz w:val="22"/>
      <w:vertAlign w:val="baseline"/>
    </w:rPr>
  </w:style>
  <w:style w:type="character" w:styleId="ListLabel46">
    <w:name w:val="ListLabel 46"/>
    <w:qFormat/>
    <w:rPr>
      <w:rFonts w:eastAsia="Arial" w:cs="Arial"/>
      <w:color w:val="222222"/>
      <w:position w:val="0"/>
      <w:sz w:val="20"/>
      <w:sz w:val="20"/>
      <w:szCs w:val="20"/>
      <w:vertAlign w:val="baseline"/>
    </w:rPr>
  </w:style>
  <w:style w:type="character" w:styleId="ListLabel47">
    <w:name w:val="ListLabel 47"/>
    <w:qFormat/>
    <w:rPr>
      <w:position w:val="0"/>
      <w:sz w:val="22"/>
      <w:vertAlign w:val="baseline"/>
    </w:rPr>
  </w:style>
  <w:style w:type="character" w:styleId="ListLabel48">
    <w:name w:val="ListLabel 48"/>
    <w:qFormat/>
    <w:rPr>
      <w:position w:val="0"/>
      <w:sz w:val="22"/>
      <w:vertAlign w:val="baseline"/>
    </w:rPr>
  </w:style>
  <w:style w:type="character" w:styleId="ListLabel49">
    <w:name w:val="ListLabel 49"/>
    <w:qFormat/>
    <w:rPr>
      <w:position w:val="0"/>
      <w:sz w:val="22"/>
      <w:vertAlign w:val="baseline"/>
    </w:rPr>
  </w:style>
  <w:style w:type="character" w:styleId="ListLabel50">
    <w:name w:val="ListLabel 50"/>
    <w:qFormat/>
    <w:rPr>
      <w:position w:val="0"/>
      <w:sz w:val="22"/>
      <w:vertAlign w:val="baseline"/>
    </w:rPr>
  </w:style>
  <w:style w:type="character" w:styleId="ListLabel51">
    <w:name w:val="ListLabel 51"/>
    <w:qFormat/>
    <w:rPr>
      <w:position w:val="0"/>
      <w:sz w:val="22"/>
      <w:vertAlign w:val="baseline"/>
    </w:rPr>
  </w:style>
  <w:style w:type="character" w:styleId="ListLabel52">
    <w:name w:val="ListLabel 52"/>
    <w:qFormat/>
    <w:rPr>
      <w:position w:val="0"/>
      <w:sz w:val="22"/>
      <w:vertAlign w:val="baseline"/>
    </w:rPr>
  </w:style>
  <w:style w:type="character" w:styleId="ListLabel53">
    <w:name w:val="ListLabel 53"/>
    <w:qFormat/>
    <w:rPr>
      <w:position w:val="0"/>
      <w:sz w:val="22"/>
      <w:vertAlign w:val="baseline"/>
    </w:rPr>
  </w:style>
  <w:style w:type="character" w:styleId="ListLabel54">
    <w:name w:val="ListLabel 54"/>
    <w:qFormat/>
    <w:rPr>
      <w:position w:val="0"/>
      <w:sz w:val="22"/>
      <w:vertAlign w:val="baseline"/>
    </w:rPr>
  </w:style>
  <w:style w:type="character" w:styleId="Numeraodelinhas">
    <w:name w:val="Numeração de linhas"/>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baloChar"/>
    <w:uiPriority w:val="99"/>
    <w:semiHidden/>
    <w:unhideWhenUsed/>
    <w:qFormat/>
    <w:rsid w:val="000209db"/>
    <w:pPr>
      <w:spacing w:lineRule="auto" w:line="240" w:before="0" w:after="0"/>
    </w:pPr>
    <w:rPr>
      <w:rFonts w:ascii="Tahoma" w:hAnsi="Tahoma" w:cs="Tahoma"/>
      <w:sz w:val="16"/>
      <w:szCs w:val="16"/>
    </w:rPr>
  </w:style>
  <w:style w:type="paragraph" w:styleId="Normal1" w:customStyle="1">
    <w:name w:val="LO-normal"/>
    <w:qFormat/>
    <w:rsid w:val="00b63ccc"/>
    <w:pPr>
      <w:widowControl w:val="false"/>
      <w:bidi w:val="0"/>
      <w:spacing w:lineRule="auto" w:line="240" w:before="0" w:after="0"/>
      <w:jc w:val="left"/>
    </w:pPr>
    <w:rPr>
      <w:rFonts w:ascii="Times New Roman" w:hAnsi="Times New Roman" w:eastAsia="Times New Roman" w:cs="Times New Roman"/>
      <w:color w:val="000000"/>
      <w:sz w:val="24"/>
      <w:szCs w:val="24"/>
      <w:lang w:eastAsia="pt-BR" w:val="pt-BR"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b63ccc"/>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Application>LibreOffice/5.3.5.2$Windows_x86 LibreOffice_project/50d9bf2b0a79cdb85a3814b592608037a682059d</Application>
  <Pages>1</Pages>
  <Words>258</Words>
  <Characters>1440</Characters>
  <CharactersWithSpaces>1699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2017-01-20T10:02:00Z</dcterms:created>
  <dc:creator>pccli</dc:creator>
  <dc:description/>
  <dc:language>pt-BR</dc:language>
  <cp:lastModifiedBy>pccli</cp:lastModifiedBy>
  <dcterms:modified xsi:type="dcterms:W3CDTF">2017-04-07T13:31:00Z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