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before="0" w:after="0"/>
        <w:jc w:val="center"/>
        <w:rPr>
          <w:rFonts w:ascii="Cambria" w:hAnsi="Cambria"/>
          <w:b/>
          <w:sz w:val="24"/>
          <w:szCs w:val="24"/>
        </w:rPr>
      </w:pPr>
      <w:r>
        <w:rPr>
          <w:rFonts w:ascii="Cambria" w:hAnsi="Cambria"/>
          <w:b/>
          <w:sz w:val="24"/>
          <w:szCs w:val="24"/>
        </w:rPr>
        <w:t>ANEXO 2</w:t>
      </w:r>
    </w:p>
    <w:p>
      <w:pPr>
        <w:pStyle w:val="Normal"/>
        <w:spacing w:lineRule="auto" w:line="360" w:before="0" w:after="0"/>
        <w:jc w:val="center"/>
        <w:rPr>
          <w:rFonts w:ascii="Cambria" w:hAnsi="Cambria"/>
          <w:b/>
          <w:sz w:val="24"/>
          <w:szCs w:val="24"/>
        </w:rPr>
      </w:pPr>
      <w:r>
        <w:rPr>
          <w:rFonts w:ascii="Cambria" w:hAnsi="Cambria"/>
          <w:b/>
          <w:sz w:val="24"/>
          <w:szCs w:val="24"/>
        </w:rPr>
        <w:t>PLANO DE AÇÃO – COMISSÃO SETORIAL DE AVALIAÇÃO DE PALMEIRA DAS MISSÕES/2016</w:t>
      </w:r>
    </w:p>
    <w:p>
      <w:pPr>
        <w:pStyle w:val="Normal"/>
        <w:spacing w:lineRule="auto" w:line="360" w:before="0" w:after="0"/>
        <w:jc w:val="center"/>
        <w:rPr>
          <w:rFonts w:ascii="Cambria" w:hAnsi="Cambria"/>
          <w:b/>
          <w:sz w:val="24"/>
          <w:szCs w:val="24"/>
        </w:rPr>
      </w:pPr>
      <w:r>
        <w:rPr>
          <w:rFonts w:ascii="Cambria" w:hAnsi="Cambria"/>
          <w:b/>
          <w:sz w:val="24"/>
          <w:szCs w:val="24"/>
        </w:rPr>
      </w:r>
    </w:p>
    <w:p>
      <w:pPr>
        <w:pStyle w:val="Normal"/>
        <w:spacing w:lineRule="auto" w:line="360" w:before="0" w:after="0"/>
        <w:jc w:val="center"/>
        <w:rPr>
          <w:rFonts w:ascii="Cambria" w:hAnsi="Cambria"/>
          <w:b/>
          <w:sz w:val="24"/>
          <w:szCs w:val="24"/>
        </w:rPr>
      </w:pPr>
      <w:r>
        <w:rPr>
          <w:rFonts w:ascii="Cambria" w:hAnsi="Cambria"/>
          <w:b/>
          <w:sz w:val="24"/>
          <w:szCs w:val="24"/>
        </w:rPr>
      </w:r>
    </w:p>
    <w:p>
      <w:pPr>
        <w:pStyle w:val="Normal"/>
        <w:spacing w:lineRule="auto" w:line="360" w:before="0" w:after="0"/>
        <w:jc w:val="center"/>
        <w:rPr>
          <w:rFonts w:ascii="Cambria" w:hAnsi="Cambria"/>
          <w:b/>
          <w:sz w:val="24"/>
          <w:szCs w:val="24"/>
        </w:rPr>
      </w:pPr>
      <w:r>
        <w:rPr>
          <w:rFonts w:ascii="Cambria" w:hAnsi="Cambria"/>
          <w:b/>
          <w:sz w:val="24"/>
          <w:szCs w:val="24"/>
        </w:rPr>
      </w:r>
    </w:p>
    <w:tbl>
      <w:tblPr>
        <w:jc w:val="left"/>
        <w:tblInd w:w="90" w:type="dxa"/>
        <w:tblBorders>
          <w:top w:val="single" w:sz="8" w:space="0" w:color="4F81BD"/>
          <w:left w:val="single" w:sz="8" w:space="0" w:color="4F81BD"/>
          <w:bottom w:val="single" w:sz="18" w:space="0" w:color="4F81BD"/>
          <w:insideH w:val="single" w:sz="18" w:space="0" w:color="4F81BD"/>
          <w:right w:val="single" w:sz="8" w:space="0" w:color="4F81BD"/>
          <w:insideV w:val="single" w:sz="8" w:space="0" w:color="4F81BD"/>
        </w:tblBorders>
        <w:tblCellMar>
          <w:top w:w="0" w:type="dxa"/>
          <w:left w:w="78" w:type="dxa"/>
          <w:bottom w:w="0" w:type="dxa"/>
          <w:right w:w="108" w:type="dxa"/>
        </w:tblCellMar>
      </w:tblPr>
      <w:tblGrid>
        <w:gridCol w:w="3364"/>
        <w:gridCol w:w="2267"/>
        <w:gridCol w:w="2834"/>
        <w:gridCol w:w="1842"/>
        <w:gridCol w:w="2158"/>
        <w:gridCol w:w="1755"/>
      </w:tblGrid>
      <w:tr>
        <w:trPr>
          <w:cantSplit w:val="false"/>
        </w:trPr>
        <w:tc>
          <w:tcPr>
            <w:tcW w:w="14220" w:type="dxa"/>
            <w:gridSpan w:val="6"/>
            <w:tcBorders>
              <w:top w:val="single" w:sz="8" w:space="0" w:color="4F81BD"/>
              <w:left w:val="single" w:sz="8" w:space="0" w:color="4F81BD"/>
              <w:bottom w:val="single" w:sz="18" w:space="0" w:color="4F81BD"/>
              <w:insideH w:val="single" w:sz="18" w:space="0" w:color="4F81BD"/>
              <w:right w:val="single" w:sz="8" w:space="0" w:color="4F81BD"/>
              <w:insideV w:val="single" w:sz="8" w:space="0" w:color="4F81BD"/>
            </w:tcBorders>
            <w:shd w:fill="FFFFFF" w:val="clear"/>
            <w:tcMar>
              <w:left w:w="78" w:type="dxa"/>
            </w:tcMar>
          </w:tcPr>
          <w:p>
            <w:pPr>
              <w:pStyle w:val="Normal"/>
              <w:spacing w:lineRule="auto" w:line="360" w:before="0" w:after="0"/>
              <w:jc w:val="center"/>
              <w:rPr>
                <w:rFonts w:cs="" w:ascii="Cambria" w:hAnsi="Cambria"/>
                <w:b/>
                <w:bCs/>
                <w:sz w:val="24"/>
                <w:szCs w:val="24"/>
              </w:rPr>
            </w:pPr>
            <w:r>
              <w:rPr>
                <w:rFonts w:cs="" w:ascii="Cambria" w:hAnsi="Cambria"/>
                <w:b/>
                <w:bCs/>
                <w:sz w:val="24"/>
                <w:szCs w:val="24"/>
              </w:rPr>
              <w:t xml:space="preserve">EIXO 1 – PLANEJAMENTO E AVALIAÇÃO INSTITUCIONAL </w:t>
            </w:r>
          </w:p>
        </w:tc>
      </w:tr>
      <w:tr>
        <w:trPr>
          <w:cantSplit w:val="false"/>
        </w:trPr>
        <w:tc>
          <w:tcPr>
            <w:tcW w:w="14220" w:type="dxa"/>
            <w:gridSpan w:val="6"/>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D3DFEE" w:val="clear"/>
            <w:tcMar>
              <w:left w:w="78" w:type="dxa"/>
            </w:tcMar>
          </w:tcPr>
          <w:p>
            <w:pPr>
              <w:pStyle w:val="Normal"/>
              <w:spacing w:lineRule="auto" w:line="360" w:before="0" w:after="0"/>
              <w:jc w:val="center"/>
              <w:rPr>
                <w:rFonts w:cs="" w:ascii="Cambria" w:hAnsi="Cambria"/>
                <w:b/>
                <w:bCs/>
                <w:sz w:val="24"/>
                <w:szCs w:val="24"/>
              </w:rPr>
            </w:pPr>
            <w:r>
              <w:rPr>
                <w:rFonts w:cs="" w:ascii="Cambria" w:hAnsi="Cambria"/>
                <w:b/>
                <w:bCs/>
                <w:sz w:val="24"/>
                <w:szCs w:val="24"/>
              </w:rPr>
              <w:t>Dimensão 8: Planejamento e Avaliação Institucional*</w:t>
            </w:r>
          </w:p>
        </w:tc>
      </w:tr>
      <w:tr>
        <w:trPr>
          <w:cantSplit w:val="false"/>
        </w:trPr>
        <w:tc>
          <w:tcPr>
            <w:tcW w:w="3364"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jc w:val="center"/>
              <w:rPr>
                <w:rFonts w:cs="" w:ascii="Cambria" w:hAnsi="Cambria"/>
                <w:b w:val="false"/>
                <w:bCs/>
                <w:sz w:val="24"/>
                <w:szCs w:val="24"/>
              </w:rPr>
            </w:pPr>
            <w:r>
              <w:rPr>
                <w:rFonts w:cs="" w:ascii="Cambria" w:hAnsi="Cambria"/>
                <w:b w:val="false"/>
                <w:bCs/>
                <w:sz w:val="24"/>
                <w:szCs w:val="24"/>
              </w:rPr>
              <w:t xml:space="preserve">Referência à Pesquisa de Autoavaliação Institucional </w:t>
            </w:r>
          </w:p>
        </w:tc>
        <w:tc>
          <w:tcPr>
            <w:tcW w:w="2267"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jc w:val="center"/>
              <w:rPr>
                <w:rFonts w:ascii="Cambria" w:hAnsi="Cambria"/>
                <w:sz w:val="24"/>
                <w:szCs w:val="24"/>
              </w:rPr>
            </w:pPr>
            <w:r>
              <w:rPr>
                <w:rFonts w:ascii="Cambria" w:hAnsi="Cambria"/>
                <w:sz w:val="24"/>
                <w:szCs w:val="24"/>
              </w:rPr>
              <w:t>Título da Ação (o que?)</w:t>
            </w:r>
          </w:p>
        </w:tc>
        <w:tc>
          <w:tcPr>
            <w:tcW w:w="2834"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jc w:val="center"/>
              <w:rPr>
                <w:rFonts w:ascii="Cambria" w:hAnsi="Cambria"/>
                <w:sz w:val="24"/>
                <w:szCs w:val="24"/>
              </w:rPr>
            </w:pPr>
            <w:r>
              <w:rPr>
                <w:rFonts w:ascii="Cambria" w:hAnsi="Cambria"/>
                <w:sz w:val="24"/>
                <w:szCs w:val="24"/>
              </w:rPr>
              <w:t>Justificativa</w:t>
            </w:r>
          </w:p>
          <w:p>
            <w:pPr>
              <w:pStyle w:val="Normal"/>
              <w:spacing w:lineRule="auto" w:line="360" w:before="0" w:after="0"/>
              <w:jc w:val="center"/>
              <w:rPr>
                <w:rFonts w:ascii="Cambria" w:hAnsi="Cambria"/>
                <w:sz w:val="24"/>
                <w:szCs w:val="24"/>
              </w:rPr>
            </w:pPr>
            <w:r>
              <w:rPr>
                <w:rFonts w:ascii="Cambria" w:hAnsi="Cambria"/>
                <w:sz w:val="24"/>
                <w:szCs w:val="24"/>
              </w:rPr>
              <w:t>(Por que?)</w:t>
            </w:r>
          </w:p>
        </w:tc>
        <w:tc>
          <w:tcPr>
            <w:tcW w:w="1842"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jc w:val="center"/>
              <w:rPr>
                <w:rFonts w:ascii="Cambria" w:hAnsi="Cambria"/>
                <w:sz w:val="24"/>
                <w:szCs w:val="24"/>
              </w:rPr>
            </w:pPr>
            <w:r>
              <w:rPr>
                <w:rFonts w:ascii="Cambria" w:hAnsi="Cambria"/>
                <w:sz w:val="24"/>
                <w:szCs w:val="24"/>
              </w:rPr>
              <w:t>Detalhamento da Ação</w:t>
            </w:r>
          </w:p>
          <w:p>
            <w:pPr>
              <w:pStyle w:val="Normal"/>
              <w:spacing w:lineRule="auto" w:line="360" w:before="0" w:after="0"/>
              <w:jc w:val="center"/>
              <w:rPr>
                <w:rFonts w:ascii="Cambria" w:hAnsi="Cambria"/>
                <w:sz w:val="24"/>
                <w:szCs w:val="24"/>
              </w:rPr>
            </w:pPr>
            <w:r>
              <w:rPr>
                <w:rFonts w:ascii="Cambria" w:hAnsi="Cambria"/>
                <w:sz w:val="24"/>
                <w:szCs w:val="24"/>
              </w:rPr>
              <w:t>(Como?)</w:t>
            </w:r>
          </w:p>
        </w:tc>
        <w:tc>
          <w:tcPr>
            <w:tcW w:w="2158"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jc w:val="center"/>
              <w:rPr>
                <w:rFonts w:ascii="Cambria" w:hAnsi="Cambria"/>
                <w:sz w:val="24"/>
                <w:szCs w:val="24"/>
              </w:rPr>
            </w:pPr>
            <w:r>
              <w:rPr>
                <w:rFonts w:ascii="Cambria" w:hAnsi="Cambria"/>
                <w:sz w:val="24"/>
                <w:szCs w:val="24"/>
              </w:rPr>
              <w:t>Custo Estimado</w:t>
            </w:r>
          </w:p>
        </w:tc>
        <w:tc>
          <w:tcPr>
            <w:tcW w:w="1755"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jc w:val="center"/>
              <w:rPr>
                <w:rFonts w:ascii="Cambria" w:hAnsi="Cambria"/>
                <w:b/>
                <w:sz w:val="24"/>
                <w:szCs w:val="24"/>
              </w:rPr>
            </w:pPr>
            <w:r>
              <w:rPr>
                <w:rFonts w:ascii="Cambria" w:hAnsi="Cambria"/>
                <w:b/>
                <w:sz w:val="24"/>
                <w:szCs w:val="24"/>
              </w:rPr>
              <w:t>Situação (Realizado/Não Realizado)</w:t>
            </w:r>
          </w:p>
        </w:tc>
      </w:tr>
      <w:tr>
        <w:trPr>
          <w:trHeight w:val="603" w:hRule="atLeast"/>
          <w:cantSplit w:val="false"/>
        </w:trPr>
        <w:tc>
          <w:tcPr>
            <w:tcW w:w="3364"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before="0" w:after="0"/>
              <w:rPr>
                <w:rFonts w:cs="Times New Roman" w:ascii="Cambria" w:hAnsi="Cambria"/>
                <w:b w:val="false"/>
                <w:bCs/>
                <w:sz w:val="24"/>
                <w:szCs w:val="24"/>
              </w:rPr>
            </w:pPr>
            <w:r>
              <w:rPr>
                <w:rFonts w:cs="Times New Roman" w:ascii="Cambria" w:hAnsi="Cambria"/>
                <w:b w:val="false"/>
                <w:bCs/>
                <w:sz w:val="24"/>
                <w:szCs w:val="24"/>
              </w:rPr>
              <w:t>O levantamento das demandas foi baseado nas respostas que se apresentaram mais repetidamente nos questionários dos Discentes de graduação:</w:t>
            </w:r>
          </w:p>
          <w:p>
            <w:pPr>
              <w:pStyle w:val="Normal"/>
              <w:spacing w:before="0" w:after="0"/>
              <w:jc w:val="both"/>
              <w:rPr>
                <w:rFonts w:cs="Times New Roman" w:ascii="Cambria" w:hAnsi="Cambria"/>
                <w:b w:val="false"/>
                <w:bCs/>
                <w:sz w:val="24"/>
                <w:szCs w:val="24"/>
              </w:rPr>
            </w:pPr>
            <w:r>
              <w:rPr>
                <w:rFonts w:cs="Times New Roman" w:ascii="Cambria" w:hAnsi="Cambria"/>
                <w:b w:val="false"/>
                <w:bCs/>
                <w:sz w:val="24"/>
                <w:szCs w:val="24"/>
              </w:rPr>
            </w:r>
          </w:p>
          <w:p>
            <w:pPr>
              <w:pStyle w:val="ListParagraph"/>
              <w:numPr>
                <w:ilvl w:val="1"/>
                <w:numId w:val="1"/>
              </w:numPr>
              <w:spacing w:before="0" w:after="0"/>
              <w:contextualSpacing/>
              <w:rPr>
                <w:rFonts w:cs="Times New Roman" w:ascii="Cambria" w:hAnsi="Cambria"/>
                <w:b w:val="false"/>
                <w:bCs/>
                <w:sz w:val="24"/>
                <w:szCs w:val="24"/>
              </w:rPr>
            </w:pPr>
            <w:r>
              <w:rPr>
                <w:rFonts w:cs="Times New Roman" w:ascii="Cambria" w:hAnsi="Cambria"/>
                <w:b w:val="false"/>
                <w:bCs/>
                <w:sz w:val="24"/>
                <w:szCs w:val="24"/>
              </w:rPr>
              <w:t xml:space="preserve">– </w:t>
            </w:r>
            <w:r>
              <w:rPr>
                <w:rFonts w:cs="Times New Roman" w:ascii="Cambria" w:hAnsi="Cambria"/>
                <w:b w:val="false"/>
                <w:bCs/>
                <w:sz w:val="24"/>
                <w:szCs w:val="24"/>
              </w:rPr>
              <w:t>A avaliação Institucional tem caráter formativo. Visa á construção de uma cultura reflexiva que possibilite o permanente aperfeiçoamento da missão e finalidade das instituições de Educação Superior, em que um dos instrumentos é a autoavaliação institucional. Como você pode perceber a utilização dos resultados da autoavaliação como subsídio à revisão, proposição e implementação das ações na sua unidade/subunidade?</w:t>
            </w:r>
          </w:p>
          <w:p>
            <w:pPr>
              <w:pStyle w:val="Normal"/>
              <w:spacing w:before="0" w:after="0"/>
              <w:rPr>
                <w:rFonts w:cs="Times New Roman" w:ascii="Cambria" w:hAnsi="Cambria"/>
                <w:b w:val="false"/>
                <w:bCs/>
                <w:sz w:val="24"/>
                <w:szCs w:val="24"/>
              </w:rPr>
            </w:pPr>
            <w:r>
              <w:rPr>
                <w:rFonts w:cs="Times New Roman" w:ascii="Cambria" w:hAnsi="Cambria"/>
                <w:b w:val="false"/>
                <w:bCs/>
                <w:sz w:val="24"/>
                <w:szCs w:val="24"/>
              </w:rPr>
              <w:t>No que se refere à questão acima descrita, a maioria considera BOA a utilização dos resultados, porém como são grandes as demandas que envolvem a CSA, precisamos dar continuidade as ações já iniciadas e implementar novas ações. Assim, existe a necessidade para a implementação e ampliação das ações propostas neste plano.</w:t>
            </w:r>
          </w:p>
        </w:tc>
        <w:tc>
          <w:tcPr>
            <w:tcW w:w="2267"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before="0" w:after="0"/>
              <w:rPr>
                <w:rFonts w:ascii="Cambria" w:hAnsi="Cambria"/>
                <w:sz w:val="24"/>
                <w:szCs w:val="24"/>
              </w:rPr>
            </w:pPr>
            <w:r>
              <w:rPr>
                <w:rFonts w:ascii="Cambria" w:hAnsi="Cambria"/>
                <w:sz w:val="24"/>
                <w:szCs w:val="24"/>
              </w:rPr>
              <w:t xml:space="preserve">Melhorias das condições da CSA </w:t>
            </w:r>
            <w:r>
              <w:rPr>
                <w:rFonts w:ascii="Cambria" w:hAnsi="Cambria"/>
                <w:i/>
                <w:sz w:val="24"/>
                <w:szCs w:val="24"/>
              </w:rPr>
              <w:t>campus</w:t>
            </w:r>
            <w:r>
              <w:rPr>
                <w:rFonts w:ascii="Cambria" w:hAnsi="Cambria"/>
                <w:sz w:val="24"/>
                <w:szCs w:val="24"/>
              </w:rPr>
              <w:t xml:space="preserve"> Palmeira das Missões</w:t>
            </w:r>
          </w:p>
        </w:tc>
        <w:tc>
          <w:tcPr>
            <w:tcW w:w="2834"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before="0" w:after="0"/>
              <w:rPr>
                <w:rFonts w:ascii="Cambria" w:hAnsi="Cambria"/>
                <w:sz w:val="24"/>
                <w:szCs w:val="24"/>
              </w:rPr>
            </w:pPr>
            <w:r>
              <w:rPr>
                <w:rFonts w:ascii="Cambria" w:hAnsi="Cambria"/>
                <w:sz w:val="24"/>
                <w:szCs w:val="24"/>
              </w:rPr>
              <w:t>Devido à grande demanda de atividades burocráticas, de levantamento e de divulgação interna das ações realizadas pela CSA, esta ação justifica-se para manter viável o trabalho da comissão a fim de sanar as dificuldades apontadas no relatório de autoavaliação 2014 com status de “Regular” e/ou “Insatisfatórias”.</w:t>
            </w:r>
          </w:p>
        </w:tc>
        <w:tc>
          <w:tcPr>
            <w:tcW w:w="1842"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before="0" w:after="0"/>
              <w:rPr>
                <w:rFonts w:ascii="Cambria" w:hAnsi="Cambria"/>
                <w:sz w:val="24"/>
                <w:szCs w:val="24"/>
              </w:rPr>
            </w:pPr>
            <w:r>
              <w:rPr>
                <w:rFonts w:ascii="Cambria" w:hAnsi="Cambria"/>
                <w:sz w:val="24"/>
                <w:szCs w:val="24"/>
              </w:rPr>
              <w:t>Escolha de bolsista através de edital para auxiliar efetivamente nos trabalhos da CSA e pagamento de bolsa por tempo determinado de um ano.</w:t>
            </w:r>
          </w:p>
        </w:tc>
        <w:tc>
          <w:tcPr>
            <w:tcW w:w="2158"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before="0" w:after="0"/>
              <w:rPr>
                <w:rFonts w:ascii="Cambria" w:hAnsi="Cambria"/>
                <w:sz w:val="24"/>
                <w:szCs w:val="24"/>
              </w:rPr>
            </w:pPr>
            <w:r>
              <w:rPr>
                <w:rFonts w:ascii="Cambria" w:hAnsi="Cambria"/>
                <w:sz w:val="24"/>
                <w:szCs w:val="24"/>
              </w:rPr>
              <w:t>R$ 3.000,00(valor de custeio) para manutenção de um bolsista.</w:t>
            </w:r>
          </w:p>
        </w:tc>
        <w:tc>
          <w:tcPr>
            <w:tcW w:w="1755"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240" w:before="0" w:after="0"/>
              <w:rPr>
                <w:rFonts w:ascii="Cambria" w:hAnsi="Cambria"/>
                <w:sz w:val="24"/>
                <w:szCs w:val="24"/>
              </w:rPr>
            </w:pPr>
            <w:r>
              <w:rPr>
                <w:rFonts w:ascii="Cambria" w:hAnsi="Cambria"/>
                <w:sz w:val="24"/>
                <w:szCs w:val="24"/>
              </w:rPr>
              <w:t xml:space="preserve">Realizado. </w:t>
            </w:r>
            <w:r>
              <w:rPr>
                <w:rFonts w:ascii="Cambria" w:hAnsi="Cambria"/>
                <w:sz w:val="24"/>
                <w:szCs w:val="24"/>
              </w:rPr>
              <w:t>Foi contratada a bolsista Kananda Rodrigues, acadêmica do Curso de Administração.</w:t>
            </w:r>
          </w:p>
        </w:tc>
      </w:tr>
      <w:tr>
        <w:trPr>
          <w:trHeight w:val="555" w:hRule="atLeast"/>
          <w:cantSplit w:val="false"/>
        </w:trPr>
        <w:tc>
          <w:tcPr>
            <w:tcW w:w="3364"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rPr>
                <w:rFonts w:cs="" w:ascii="Cambria" w:hAnsi="Cambria"/>
                <w:b/>
                <w:bCs/>
                <w:sz w:val="24"/>
                <w:szCs w:val="24"/>
              </w:rPr>
            </w:pPr>
            <w:r>
              <w:rPr>
                <w:rFonts w:cs="" w:ascii="Cambria" w:hAnsi="Cambria"/>
                <w:b/>
                <w:bCs/>
                <w:sz w:val="24"/>
                <w:szCs w:val="24"/>
              </w:rPr>
            </w:r>
          </w:p>
        </w:tc>
        <w:tc>
          <w:tcPr>
            <w:tcW w:w="2267"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before="0" w:after="0"/>
              <w:rPr>
                <w:rFonts w:ascii="Cambria" w:hAnsi="Cambria"/>
                <w:sz w:val="24"/>
                <w:szCs w:val="24"/>
              </w:rPr>
            </w:pPr>
            <w:r>
              <w:rPr>
                <w:rFonts w:ascii="Cambria" w:hAnsi="Cambria"/>
                <w:sz w:val="24"/>
                <w:szCs w:val="24"/>
              </w:rPr>
            </w:r>
          </w:p>
        </w:tc>
        <w:tc>
          <w:tcPr>
            <w:tcW w:w="2834"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before="0" w:after="0"/>
              <w:rPr>
                <w:rFonts w:ascii="Cambria" w:hAnsi="Cambria"/>
                <w:sz w:val="24"/>
                <w:szCs w:val="24"/>
              </w:rPr>
            </w:pPr>
            <w:r>
              <w:rPr>
                <w:rFonts w:ascii="Cambria" w:hAnsi="Cambria"/>
                <w:sz w:val="24"/>
                <w:szCs w:val="24"/>
              </w:rPr>
            </w:r>
          </w:p>
        </w:tc>
        <w:tc>
          <w:tcPr>
            <w:tcW w:w="1842"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rPr>
                <w:rFonts w:ascii="Cambria" w:hAnsi="Cambria"/>
                <w:sz w:val="24"/>
                <w:szCs w:val="24"/>
              </w:rPr>
            </w:pPr>
            <w:r>
              <w:rPr>
                <w:rFonts w:ascii="Cambria" w:hAnsi="Cambria"/>
                <w:sz w:val="24"/>
                <w:szCs w:val="24"/>
              </w:rPr>
            </w:r>
          </w:p>
        </w:tc>
        <w:tc>
          <w:tcPr>
            <w:tcW w:w="2158"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rPr>
                <w:rFonts w:ascii="Cambria" w:hAnsi="Cambria"/>
                <w:sz w:val="24"/>
                <w:szCs w:val="24"/>
              </w:rPr>
            </w:pPr>
            <w:r>
              <w:rPr>
                <w:rFonts w:ascii="Cambria" w:hAnsi="Cambria"/>
                <w:sz w:val="24"/>
                <w:szCs w:val="24"/>
              </w:rPr>
            </w:r>
          </w:p>
        </w:tc>
        <w:tc>
          <w:tcPr>
            <w:tcW w:w="1755" w:type="dxa"/>
            <w:tcBorders>
              <w:top w:val="single" w:sz="8" w:space="0" w:color="4F81BD"/>
              <w:left w:val="single" w:sz="8" w:space="0" w:color="4F81BD"/>
              <w:bottom w:val="single" w:sz="8" w:space="0" w:color="4F81BD"/>
              <w:insideH w:val="single" w:sz="8" w:space="0" w:color="4F81BD"/>
              <w:right w:val="single" w:sz="8" w:space="0" w:color="4F81BD"/>
              <w:insideV w:val="single" w:sz="8" w:space="0" w:color="4F81BD"/>
            </w:tcBorders>
            <w:shd w:fill="FFFFFF" w:val="clear"/>
            <w:tcMar>
              <w:left w:w="78" w:type="dxa"/>
            </w:tcMar>
          </w:tcPr>
          <w:p>
            <w:pPr>
              <w:pStyle w:val="Normal"/>
              <w:spacing w:lineRule="auto" w:line="360" w:before="0" w:after="0"/>
              <w:rPr>
                <w:rFonts w:ascii="Cambria" w:hAnsi="Cambria"/>
                <w:sz w:val="24"/>
                <w:szCs w:val="24"/>
              </w:rPr>
            </w:pPr>
            <w:r>
              <w:rPr>
                <w:rFonts w:ascii="Cambria" w:hAnsi="Cambria"/>
                <w:sz w:val="24"/>
                <w:szCs w:val="24"/>
              </w:rPr>
            </w:r>
          </w:p>
        </w:tc>
      </w:tr>
    </w:tbl>
    <w:p>
      <w:pPr>
        <w:pStyle w:val="Normal"/>
        <w:spacing w:lineRule="auto" w:line="360" w:before="0" w:after="0"/>
        <w:jc w:val="center"/>
        <w:rPr>
          <w:rFonts w:ascii="Cambria" w:hAnsi="Cambria"/>
          <w:b/>
          <w:sz w:val="24"/>
          <w:szCs w:val="24"/>
        </w:rPr>
      </w:pPr>
      <w:r>
        <w:rPr>
          <w:rFonts w:ascii="Cambria" w:hAnsi="Cambria"/>
          <w:b/>
          <w:sz w:val="24"/>
          <w:szCs w:val="24"/>
        </w:rPr>
      </w:r>
    </w:p>
    <w:p>
      <w:pPr>
        <w:pStyle w:val="Normal"/>
        <w:spacing w:lineRule="auto" w:line="360" w:before="0" w:after="0"/>
        <w:jc w:val="center"/>
        <w:rPr>
          <w:rFonts w:ascii="Cambria" w:hAnsi="Cambria"/>
          <w:b/>
          <w:sz w:val="24"/>
          <w:szCs w:val="24"/>
        </w:rPr>
      </w:pPr>
      <w:r>
        <w:rPr>
          <w:rFonts w:ascii="Cambria" w:hAnsi="Cambria"/>
          <w:b/>
          <w:sz w:val="24"/>
          <w:szCs w:val="24"/>
        </w:rPr>
      </w:r>
    </w:p>
    <w:tbl>
      <w:tblPr>
        <w:jc w:val="left"/>
        <w:tblInd w:w="-20" w:type="dxa"/>
        <w:tblBorders>
          <w:top w:val="single" w:sz="8" w:space="0" w:color="C0504D"/>
          <w:left w:val="single" w:sz="8" w:space="0" w:color="C0504D"/>
          <w:bottom w:val="single" w:sz="18" w:space="0" w:color="C0504D"/>
          <w:insideH w:val="single" w:sz="18" w:space="0" w:color="C0504D"/>
          <w:right w:val="single" w:sz="8" w:space="0" w:color="C0504D"/>
          <w:insideV w:val="single" w:sz="8" w:space="0" w:color="C0504D"/>
        </w:tblBorders>
        <w:tblCellMar>
          <w:top w:w="0" w:type="dxa"/>
          <w:left w:w="87" w:type="dxa"/>
          <w:bottom w:w="0" w:type="dxa"/>
          <w:right w:w="108" w:type="dxa"/>
        </w:tblCellMar>
      </w:tblPr>
      <w:tblGrid>
        <w:gridCol w:w="3366"/>
        <w:gridCol w:w="2267"/>
        <w:gridCol w:w="2833"/>
        <w:gridCol w:w="1842"/>
        <w:gridCol w:w="1988"/>
        <w:gridCol w:w="2193"/>
      </w:tblGrid>
      <w:tr>
        <w:trPr>
          <w:trHeight w:val="346" w:hRule="atLeast"/>
          <w:cantSplit w:val="false"/>
        </w:trPr>
        <w:tc>
          <w:tcPr>
            <w:tcW w:w="14489" w:type="dxa"/>
            <w:gridSpan w:val="6"/>
            <w:tcBorders>
              <w:top w:val="single" w:sz="8" w:space="0" w:color="C0504D"/>
              <w:left w:val="single" w:sz="8" w:space="0" w:color="C0504D"/>
              <w:bottom w:val="single" w:sz="18" w:space="0" w:color="C0504D"/>
              <w:insideH w:val="single" w:sz="18" w:space="0" w:color="C0504D"/>
              <w:right w:val="single" w:sz="8" w:space="0" w:color="C0504D"/>
              <w:insideV w:val="single" w:sz="8" w:space="0" w:color="C0504D"/>
            </w:tcBorders>
            <w:shd w:fill="FFFFFF"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 xml:space="preserve">EIXO 2 – DESENVOLVIMENTO INSTITUCIONAL </w:t>
            </w:r>
          </w:p>
        </w:tc>
      </w:tr>
      <w:tr>
        <w:trPr>
          <w:cantSplit w:val="false"/>
        </w:trPr>
        <w:tc>
          <w:tcPr>
            <w:tcW w:w="14489" w:type="dxa"/>
            <w:gridSpan w:val="6"/>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2DBDB"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Dimensão 1: Missão e o Plano de Desenvolvimento Institucional</w:t>
            </w:r>
          </w:p>
        </w:tc>
      </w:tr>
      <w:tr>
        <w:trPr>
          <w:cantSplit w:val="false"/>
        </w:trPr>
        <w:tc>
          <w:tcPr>
            <w:tcW w:w="3366"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cs="" w:ascii="Cambria" w:hAnsi="Cambria"/>
                <w:b w:val="false"/>
                <w:bCs/>
                <w:sz w:val="24"/>
                <w:szCs w:val="24"/>
              </w:rPr>
            </w:pPr>
            <w:r>
              <w:rPr>
                <w:rFonts w:cs="" w:ascii="Cambria" w:hAnsi="Cambria"/>
                <w:b w:val="false"/>
                <w:bCs/>
                <w:sz w:val="24"/>
                <w:szCs w:val="24"/>
              </w:rPr>
              <w:t>Referência à Pesquisa de Autoavaliação Institucional</w:t>
            </w:r>
          </w:p>
        </w:tc>
        <w:tc>
          <w:tcPr>
            <w:tcW w:w="2267"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Título da Ação (o que?)</w:t>
            </w:r>
          </w:p>
        </w:tc>
        <w:tc>
          <w:tcPr>
            <w:tcW w:w="283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Justificativa</w:t>
            </w:r>
          </w:p>
          <w:p>
            <w:pPr>
              <w:pStyle w:val="Normal"/>
              <w:spacing w:before="0" w:after="0"/>
              <w:jc w:val="center"/>
              <w:rPr>
                <w:rFonts w:ascii="Cambria" w:hAnsi="Cambria"/>
                <w:sz w:val="24"/>
                <w:szCs w:val="24"/>
              </w:rPr>
            </w:pPr>
            <w:r>
              <w:rPr>
                <w:rFonts w:ascii="Cambria" w:hAnsi="Cambria"/>
                <w:sz w:val="24"/>
                <w:szCs w:val="24"/>
              </w:rPr>
              <w:t>(Por que?)</w:t>
            </w:r>
          </w:p>
        </w:tc>
        <w:tc>
          <w:tcPr>
            <w:tcW w:w="1842"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Detalhamento da Ação</w:t>
            </w:r>
          </w:p>
          <w:p>
            <w:pPr>
              <w:pStyle w:val="Normal"/>
              <w:spacing w:before="0" w:after="0"/>
              <w:jc w:val="center"/>
              <w:rPr>
                <w:rFonts w:ascii="Cambria" w:hAnsi="Cambria"/>
                <w:sz w:val="24"/>
                <w:szCs w:val="24"/>
              </w:rPr>
            </w:pPr>
            <w:r>
              <w:rPr>
                <w:rFonts w:ascii="Cambria" w:hAnsi="Cambria"/>
                <w:sz w:val="24"/>
                <w:szCs w:val="24"/>
              </w:rPr>
              <w:t>(Como?)</w:t>
            </w:r>
          </w:p>
        </w:tc>
        <w:tc>
          <w:tcPr>
            <w:tcW w:w="1988"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Custo Estimado</w:t>
            </w:r>
          </w:p>
        </w:tc>
        <w:tc>
          <w:tcPr>
            <w:tcW w:w="219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b/>
                <w:sz w:val="24"/>
                <w:szCs w:val="24"/>
              </w:rPr>
            </w:pPr>
            <w:r>
              <w:rPr>
                <w:rFonts w:ascii="Cambria" w:hAnsi="Cambria"/>
                <w:b/>
                <w:sz w:val="24"/>
                <w:szCs w:val="24"/>
              </w:rPr>
              <w:t>Situação (Realizado/Não Realizado)</w:t>
            </w:r>
          </w:p>
        </w:tc>
      </w:tr>
      <w:tr>
        <w:trPr>
          <w:trHeight w:val="896" w:hRule="atLeast"/>
          <w:cantSplit w:val="false"/>
        </w:trPr>
        <w:tc>
          <w:tcPr>
            <w:tcW w:w="3366"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cs="Times New Roman" w:ascii="Cambria" w:hAnsi="Cambria"/>
                <w:b w:val="false"/>
                <w:bCs/>
                <w:sz w:val="24"/>
                <w:szCs w:val="24"/>
              </w:rPr>
            </w:pPr>
            <w:r>
              <w:rPr>
                <w:rFonts w:cs="Times New Roman" w:ascii="Cambria" w:hAnsi="Cambria"/>
                <w:b w:val="false"/>
                <w:bCs/>
                <w:sz w:val="24"/>
                <w:szCs w:val="24"/>
              </w:rPr>
              <w:t>2.1 – Você identifica o Plano de Desenvolvimento Institucional(PDI) como referência para as ações de ensino, pesquisa e extensão, levando em conta as políticas nele contidas?</w:t>
            </w:r>
          </w:p>
          <w:p>
            <w:pPr>
              <w:pStyle w:val="Normal"/>
              <w:spacing w:before="0" w:after="0"/>
              <w:rPr>
                <w:rFonts w:cs="Times New Roman" w:ascii="Cambria" w:hAnsi="Cambria"/>
                <w:b w:val="false"/>
                <w:bCs/>
                <w:sz w:val="24"/>
                <w:szCs w:val="24"/>
              </w:rPr>
            </w:pPr>
            <w:r>
              <w:rPr>
                <w:rFonts w:cs="Times New Roman" w:ascii="Cambria" w:hAnsi="Cambria"/>
                <w:b w:val="false"/>
                <w:bCs/>
                <w:sz w:val="24"/>
                <w:szCs w:val="24"/>
              </w:rPr>
              <w:t>Faltam muitas informações sobre o PDI, é necessário um trabalho de esclarecimento sobre este plano em toda a comunidade acadêmica.</w:t>
            </w:r>
          </w:p>
        </w:tc>
        <w:tc>
          <w:tcPr>
            <w:tcW w:w="2267"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Conhecer o Plano de Desenvolvimento Institucional.</w:t>
            </w:r>
          </w:p>
        </w:tc>
        <w:tc>
          <w:tcPr>
            <w:tcW w:w="283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Porque uma parcela significativa de todos os discentes afirmaram que conhecem parcialmente ou desconhecem o PDI.</w:t>
            </w:r>
          </w:p>
        </w:tc>
        <w:tc>
          <w:tcPr>
            <w:tcW w:w="1842"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i/>
                <w:iCs/>
                <w:sz w:val="24"/>
                <w:szCs w:val="24"/>
              </w:rPr>
            </w:pPr>
            <w:r>
              <w:rPr>
                <w:rFonts w:ascii="Cambria" w:hAnsi="Cambria"/>
                <w:sz w:val="24"/>
                <w:szCs w:val="24"/>
              </w:rPr>
              <w:t xml:space="preserve">Em parceira com a PROPLAN realizar palestras de divulgação na comunidade acadêmica com o envolvimento dos Diretórios Acadêmicos, durante as Semanas Acadêmicas e projetos como </w:t>
            </w:r>
            <w:r>
              <w:rPr>
                <w:rFonts w:ascii="Cambria" w:hAnsi="Cambria"/>
                <w:i/>
                <w:iCs/>
                <w:sz w:val="24"/>
                <w:szCs w:val="24"/>
              </w:rPr>
              <w:t>Viva o Campus.</w:t>
            </w:r>
          </w:p>
        </w:tc>
        <w:tc>
          <w:tcPr>
            <w:tcW w:w="1988"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w:t>
            </w:r>
          </w:p>
          <w:p>
            <w:pPr>
              <w:pStyle w:val="Normal"/>
              <w:spacing w:before="0" w:after="0"/>
              <w:rPr>
                <w:rFonts w:ascii="Cambria" w:hAnsi="Cambria"/>
                <w:sz w:val="24"/>
                <w:szCs w:val="24"/>
              </w:rPr>
            </w:pPr>
            <w:r>
              <w:rPr>
                <w:rFonts w:ascii="Cambria" w:hAnsi="Cambria"/>
                <w:sz w:val="24"/>
                <w:szCs w:val="24"/>
              </w:rPr>
            </w:r>
          </w:p>
        </w:tc>
        <w:tc>
          <w:tcPr>
            <w:tcW w:w="219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Realizaram-se apresentações da CSA durante as Semanas Acadêmicas dos Cursos do campus, assim como a mobilização à comunidade acadêmica para participação da pesquisa de Avaliação Institucional.</w:t>
            </w:r>
          </w:p>
        </w:tc>
      </w:tr>
      <w:tr>
        <w:trPr>
          <w:trHeight w:val="555" w:hRule="atLeast"/>
          <w:cantSplit w:val="false"/>
        </w:trPr>
        <w:tc>
          <w:tcPr>
            <w:tcW w:w="3366"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cs="" w:ascii="Cambria" w:hAnsi="Cambria"/>
                <w:b/>
                <w:bCs/>
                <w:sz w:val="24"/>
                <w:szCs w:val="24"/>
              </w:rPr>
            </w:pPr>
            <w:r>
              <w:rPr>
                <w:rFonts w:cs="" w:ascii="Cambria" w:hAnsi="Cambria"/>
                <w:b/>
                <w:bCs/>
                <w:sz w:val="24"/>
                <w:szCs w:val="24"/>
              </w:rPr>
            </w:r>
          </w:p>
        </w:tc>
        <w:tc>
          <w:tcPr>
            <w:tcW w:w="2267"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83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42"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988"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19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r>
      <w:tr>
        <w:trPr>
          <w:trHeight w:val="387" w:hRule="atLeast"/>
          <w:cantSplit w:val="false"/>
        </w:trPr>
        <w:tc>
          <w:tcPr>
            <w:tcW w:w="14489" w:type="dxa"/>
            <w:gridSpan w:val="6"/>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2DBDB"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Dimensão 3: Responsabilidade Social da Instituição</w:t>
            </w:r>
          </w:p>
        </w:tc>
      </w:tr>
      <w:tr>
        <w:trPr>
          <w:cantSplit w:val="false"/>
        </w:trPr>
        <w:tc>
          <w:tcPr>
            <w:tcW w:w="3366"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cs="" w:ascii="Cambria" w:hAnsi="Cambria"/>
                <w:b w:val="false"/>
                <w:bCs/>
                <w:sz w:val="24"/>
                <w:szCs w:val="24"/>
              </w:rPr>
            </w:pPr>
            <w:r>
              <w:rPr>
                <w:rFonts w:cs="" w:ascii="Cambria" w:hAnsi="Cambria"/>
                <w:b w:val="false"/>
                <w:bCs/>
                <w:sz w:val="24"/>
                <w:szCs w:val="24"/>
              </w:rPr>
              <w:t>Referência à Pesquisa de Autoavaliação Institucional</w:t>
            </w:r>
          </w:p>
        </w:tc>
        <w:tc>
          <w:tcPr>
            <w:tcW w:w="2267"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Título da Ação (o que?)</w:t>
            </w:r>
          </w:p>
        </w:tc>
        <w:tc>
          <w:tcPr>
            <w:tcW w:w="283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Justificativa</w:t>
            </w:r>
          </w:p>
          <w:p>
            <w:pPr>
              <w:pStyle w:val="Normal"/>
              <w:spacing w:before="0" w:after="0"/>
              <w:jc w:val="center"/>
              <w:rPr>
                <w:rFonts w:ascii="Cambria" w:hAnsi="Cambria"/>
                <w:sz w:val="24"/>
                <w:szCs w:val="24"/>
              </w:rPr>
            </w:pPr>
            <w:r>
              <w:rPr>
                <w:rFonts w:ascii="Cambria" w:hAnsi="Cambria"/>
                <w:sz w:val="24"/>
                <w:szCs w:val="24"/>
              </w:rPr>
              <w:t>(Por que?)</w:t>
            </w:r>
          </w:p>
        </w:tc>
        <w:tc>
          <w:tcPr>
            <w:tcW w:w="1842"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Detalhamento da Ação</w:t>
            </w:r>
          </w:p>
          <w:p>
            <w:pPr>
              <w:pStyle w:val="Normal"/>
              <w:spacing w:before="0" w:after="0"/>
              <w:jc w:val="center"/>
              <w:rPr>
                <w:rFonts w:ascii="Cambria" w:hAnsi="Cambria"/>
                <w:sz w:val="24"/>
                <w:szCs w:val="24"/>
              </w:rPr>
            </w:pPr>
            <w:r>
              <w:rPr>
                <w:rFonts w:ascii="Cambria" w:hAnsi="Cambria"/>
                <w:sz w:val="24"/>
                <w:szCs w:val="24"/>
              </w:rPr>
              <w:t>(Como?)</w:t>
            </w:r>
          </w:p>
          <w:p>
            <w:pPr>
              <w:pStyle w:val="Normal"/>
              <w:spacing w:before="0" w:after="0"/>
              <w:jc w:val="center"/>
              <w:rPr>
                <w:rFonts w:ascii="Cambria" w:hAnsi="Cambria"/>
                <w:sz w:val="24"/>
                <w:szCs w:val="24"/>
              </w:rPr>
            </w:pPr>
            <w:r>
              <w:rPr>
                <w:rFonts w:ascii="Cambria" w:hAnsi="Cambria"/>
                <w:sz w:val="24"/>
                <w:szCs w:val="24"/>
              </w:rPr>
            </w:r>
          </w:p>
        </w:tc>
        <w:tc>
          <w:tcPr>
            <w:tcW w:w="1988"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Custo Estimado</w:t>
            </w:r>
          </w:p>
        </w:tc>
        <w:tc>
          <w:tcPr>
            <w:tcW w:w="219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center"/>
              <w:rPr>
                <w:rFonts w:ascii="Cambria" w:hAnsi="Cambria"/>
                <w:b/>
                <w:sz w:val="24"/>
                <w:szCs w:val="24"/>
              </w:rPr>
            </w:pPr>
            <w:r>
              <w:rPr>
                <w:rFonts w:ascii="Cambria" w:hAnsi="Cambria"/>
                <w:b/>
                <w:sz w:val="24"/>
                <w:szCs w:val="24"/>
              </w:rPr>
              <w:t>Situação (Realizado/Não Realizado)</w:t>
            </w:r>
          </w:p>
        </w:tc>
      </w:tr>
      <w:tr>
        <w:trPr>
          <w:trHeight w:val="603" w:hRule="atLeast"/>
          <w:cantSplit w:val="false"/>
        </w:trPr>
        <w:tc>
          <w:tcPr>
            <w:tcW w:w="3366"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jc w:val="both"/>
              <w:rPr>
                <w:rFonts w:cs="" w:ascii="Cambria" w:hAnsi="Cambria"/>
                <w:b w:val="false"/>
                <w:bCs/>
                <w:sz w:val="24"/>
                <w:szCs w:val="24"/>
              </w:rPr>
            </w:pPr>
            <w:r>
              <w:rPr>
                <w:rFonts w:cs="" w:ascii="Cambria" w:hAnsi="Cambria"/>
                <w:b w:val="false"/>
                <w:bCs/>
                <w:sz w:val="24"/>
                <w:szCs w:val="24"/>
              </w:rPr>
              <w:t>2.4 – O Plano de Gestão de Logísticas Sustentável é uma ferramenta de planejamento ambiental que busca estabelecer práticas sustentáveis a serem adotadas na instituição. Diante da importância do instrumento, como você avalia a divulgação de tal instrumento?</w:t>
            </w:r>
          </w:p>
          <w:p>
            <w:pPr>
              <w:pStyle w:val="Normal"/>
              <w:spacing w:before="0" w:after="0"/>
              <w:jc w:val="both"/>
              <w:rPr>
                <w:rFonts w:cs="" w:ascii="Cambria" w:hAnsi="Cambria"/>
                <w:b w:val="false"/>
                <w:bCs/>
                <w:sz w:val="24"/>
                <w:szCs w:val="24"/>
              </w:rPr>
            </w:pPr>
            <w:r>
              <w:rPr>
                <w:rFonts w:cs="" w:ascii="Cambria" w:hAnsi="Cambria"/>
                <w:b w:val="false"/>
                <w:bCs/>
                <w:sz w:val="24"/>
                <w:szCs w:val="24"/>
              </w:rPr>
              <w:t>O Plano de Logística Sustentável, ainda é desconhecido pela comunidade acadêmica. Há muito trabalho a ser desenvolvido, tanto para se fazer como conhecer como para pô-lo em prática.</w:t>
            </w:r>
          </w:p>
        </w:tc>
        <w:tc>
          <w:tcPr>
            <w:tcW w:w="2267"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Conhecer o Plano de Gestão de Logística Sustentável</w:t>
            </w:r>
          </w:p>
        </w:tc>
        <w:tc>
          <w:tcPr>
            <w:tcW w:w="283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Porque uma parcela importante dos discentes afirmou que consideram regulares, desconhecem ou consideram insatisfatório o Plano de Gestão de Logística Sustentável.</w:t>
            </w:r>
          </w:p>
        </w:tc>
        <w:tc>
          <w:tcPr>
            <w:tcW w:w="1842"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Em parceria com COMPLANA realizar palestras de divulgação à comunidade acadêmica com o envolvimento dos Diretórios Acadêmicos, durante as Semanas Acadêmicas e projetos como o “Divulgação de conhecimentos, vivências com a natureza e práticas sustentáveis através da Educação Ambiental(EA)”, que trata, entre outras coisas, sobre a gestão de resíduos produzidos no campus.</w:t>
            </w:r>
          </w:p>
        </w:tc>
        <w:tc>
          <w:tcPr>
            <w:tcW w:w="1988"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R$ 3.000,00 (valor de custeio) para manutenção de bolsista.</w:t>
            </w:r>
          </w:p>
        </w:tc>
        <w:tc>
          <w:tcPr>
            <w:tcW w:w="219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Realizado. </w:t>
            </w:r>
            <w:r>
              <w:rPr>
                <w:rFonts w:ascii="Cambria" w:hAnsi="Cambria"/>
                <w:sz w:val="24"/>
                <w:szCs w:val="24"/>
              </w:rPr>
              <w:t xml:space="preserve">Foi contratada a bolsista Vanessa Seidel, do </w:t>
            </w:r>
            <w:r>
              <w:rPr>
                <w:rFonts w:ascii="Cambria" w:hAnsi="Cambria"/>
                <w:sz w:val="24"/>
                <w:szCs w:val="24"/>
              </w:rPr>
              <w:t xml:space="preserve">curso de Zootecnia. </w:t>
            </w:r>
          </w:p>
        </w:tc>
      </w:tr>
      <w:tr>
        <w:trPr>
          <w:trHeight w:val="555" w:hRule="atLeast"/>
          <w:cantSplit w:val="false"/>
        </w:trPr>
        <w:tc>
          <w:tcPr>
            <w:tcW w:w="3366"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cs="" w:ascii="Cambria" w:hAnsi="Cambria"/>
                <w:b/>
                <w:bCs/>
                <w:sz w:val="24"/>
                <w:szCs w:val="24"/>
              </w:rPr>
            </w:pPr>
            <w:r>
              <w:rPr>
                <w:rFonts w:cs="" w:ascii="Cambria" w:hAnsi="Cambria"/>
                <w:b/>
                <w:bCs/>
                <w:sz w:val="24"/>
                <w:szCs w:val="24"/>
              </w:rPr>
            </w:r>
          </w:p>
        </w:tc>
        <w:tc>
          <w:tcPr>
            <w:tcW w:w="2267"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83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42"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988"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193" w:type="dxa"/>
            <w:tcBorders>
              <w:top w:val="single" w:sz="8" w:space="0" w:color="C0504D"/>
              <w:left w:val="single" w:sz="8" w:space="0" w:color="C0504D"/>
              <w:bottom w:val="single" w:sz="8" w:space="0" w:color="C0504D"/>
              <w:insideH w:val="single" w:sz="8" w:space="0" w:color="C0504D"/>
              <w:right w:val="single" w:sz="8" w:space="0" w:color="C0504D"/>
              <w:insideV w:val="single" w:sz="8" w:space="0" w:color="C0504D"/>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r>
    </w:tbl>
    <w:p>
      <w:pPr>
        <w:pStyle w:val="Normal"/>
        <w:rPr>
          <w:rFonts w:ascii="Cambria" w:hAnsi="Cambria"/>
          <w:sz w:val="24"/>
          <w:szCs w:val="24"/>
        </w:rPr>
      </w:pPr>
      <w:r>
        <w:rPr>
          <w:rFonts w:ascii="Cambria" w:hAnsi="Cambria"/>
          <w:sz w:val="24"/>
          <w:szCs w:val="24"/>
        </w:rPr>
      </w:r>
    </w:p>
    <w:tbl>
      <w:tblPr>
        <w:jc w:val="left"/>
        <w:tblInd w:w="-20" w:type="dxa"/>
        <w:tblBorders>
          <w:top w:val="single" w:sz="8" w:space="0" w:color="9BBB59"/>
          <w:left w:val="single" w:sz="8" w:space="0" w:color="9BBB59"/>
          <w:bottom w:val="single" w:sz="18" w:space="0" w:color="9BBB59"/>
          <w:insideH w:val="single" w:sz="18" w:space="0" w:color="9BBB59"/>
          <w:right w:val="single" w:sz="8" w:space="0" w:color="9BBB59"/>
          <w:insideV w:val="single" w:sz="8" w:space="0" w:color="9BBB59"/>
        </w:tblBorders>
        <w:tblCellMar>
          <w:top w:w="0" w:type="dxa"/>
          <w:left w:w="87" w:type="dxa"/>
          <w:bottom w:w="0" w:type="dxa"/>
          <w:right w:w="108" w:type="dxa"/>
        </w:tblCellMar>
      </w:tblPr>
      <w:tblGrid>
        <w:gridCol w:w="3365"/>
        <w:gridCol w:w="2267"/>
        <w:gridCol w:w="2833"/>
        <w:gridCol w:w="1839"/>
        <w:gridCol w:w="1426"/>
        <w:gridCol w:w="2432"/>
      </w:tblGrid>
      <w:tr>
        <w:trPr>
          <w:cantSplit w:val="false"/>
        </w:trPr>
        <w:tc>
          <w:tcPr>
            <w:tcW w:w="14162" w:type="dxa"/>
            <w:gridSpan w:val="6"/>
            <w:tcBorders>
              <w:top w:val="single" w:sz="8" w:space="0" w:color="9BBB59"/>
              <w:left w:val="single" w:sz="8" w:space="0" w:color="9BBB59"/>
              <w:bottom w:val="single" w:sz="18" w:space="0" w:color="9BBB59"/>
              <w:insideH w:val="single" w:sz="18" w:space="0" w:color="9BBB59"/>
              <w:right w:val="single" w:sz="8" w:space="0" w:color="9BBB59"/>
              <w:insideV w:val="single" w:sz="8" w:space="0" w:color="9BBB59"/>
            </w:tcBorders>
            <w:shd w:fill="FFFFFF"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 xml:space="preserve">EIXO 3 – POLÍTICAS ACADÊMICAS </w:t>
            </w:r>
          </w:p>
        </w:tc>
      </w:tr>
      <w:tr>
        <w:trPr>
          <w:trHeight w:val="375" w:hRule="atLeast"/>
          <w:cantSplit w:val="false"/>
        </w:trPr>
        <w:tc>
          <w:tcPr>
            <w:tcW w:w="14162" w:type="dxa"/>
            <w:gridSpan w:val="6"/>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EAF1DD"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Dimensão 2: Políticas para o Ensino, Pesquisa e Extensão</w:t>
            </w:r>
          </w:p>
        </w:tc>
      </w:tr>
      <w:tr>
        <w:trPr>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cs="" w:ascii="Cambria" w:hAnsi="Cambria"/>
                <w:b w:val="false"/>
                <w:bCs/>
                <w:sz w:val="24"/>
                <w:szCs w:val="24"/>
              </w:rPr>
            </w:pPr>
            <w:r>
              <w:rPr>
                <w:rFonts w:cs="" w:ascii="Cambria" w:hAnsi="Cambria"/>
                <w:b w:val="false"/>
                <w:bCs/>
                <w:sz w:val="24"/>
                <w:szCs w:val="24"/>
              </w:rPr>
              <w:t>Referência à Pesquisa de Autoavaliação Institucional</w:t>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Título da Ação (o que?)</w:t>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Justificativa</w:t>
            </w:r>
          </w:p>
          <w:p>
            <w:pPr>
              <w:pStyle w:val="Normal"/>
              <w:spacing w:before="0" w:after="0"/>
              <w:jc w:val="center"/>
              <w:rPr>
                <w:rFonts w:ascii="Cambria" w:hAnsi="Cambria"/>
                <w:sz w:val="24"/>
                <w:szCs w:val="24"/>
              </w:rPr>
            </w:pPr>
            <w:r>
              <w:rPr>
                <w:rFonts w:ascii="Cambria" w:hAnsi="Cambria"/>
                <w:sz w:val="24"/>
                <w:szCs w:val="24"/>
              </w:rPr>
              <w:t>(Por que?)</w:t>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Detalhamento da Ação</w:t>
            </w:r>
          </w:p>
          <w:p>
            <w:pPr>
              <w:pStyle w:val="Normal"/>
              <w:spacing w:before="0" w:after="0"/>
              <w:jc w:val="center"/>
              <w:rPr>
                <w:rFonts w:ascii="Cambria" w:hAnsi="Cambria"/>
                <w:sz w:val="24"/>
                <w:szCs w:val="24"/>
              </w:rPr>
            </w:pPr>
            <w:r>
              <w:rPr>
                <w:rFonts w:ascii="Cambria" w:hAnsi="Cambria"/>
                <w:sz w:val="24"/>
                <w:szCs w:val="24"/>
              </w:rPr>
              <w:t>(Como?)</w:t>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Custo Estimado</w:t>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b/>
                <w:sz w:val="24"/>
                <w:szCs w:val="24"/>
              </w:rPr>
            </w:pPr>
            <w:r>
              <w:rPr>
                <w:rFonts w:ascii="Cambria" w:hAnsi="Cambria"/>
                <w:b/>
                <w:sz w:val="24"/>
                <w:szCs w:val="24"/>
              </w:rPr>
              <w:t>Situação (Realizado/Não Realizado)</w:t>
            </w:r>
          </w:p>
        </w:tc>
      </w:tr>
      <w:tr>
        <w:trPr>
          <w:trHeight w:val="603" w:hRule="atLeast"/>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cs="" w:ascii="Cambria" w:hAnsi="Cambria"/>
                <w:b w:val="false"/>
                <w:bCs/>
                <w:sz w:val="24"/>
                <w:szCs w:val="24"/>
              </w:rPr>
            </w:pPr>
            <w:r>
              <w:rPr>
                <w:rFonts w:cs="" w:ascii="Cambria" w:hAnsi="Cambria"/>
                <w:b w:val="false"/>
                <w:bCs/>
                <w:sz w:val="24"/>
                <w:szCs w:val="24"/>
              </w:rPr>
              <w:t>O levantamento das demandas foi baseado nas respostas que se apresentaram mais repetidamente nos questionários dos discentes de graduação:</w:t>
            </w:r>
          </w:p>
          <w:p>
            <w:pPr>
              <w:pStyle w:val="Normal"/>
              <w:spacing w:before="0" w:after="0"/>
              <w:rPr>
                <w:rFonts w:cs="" w:ascii="Cambria" w:hAnsi="Cambria"/>
                <w:b w:val="false"/>
                <w:bCs/>
                <w:sz w:val="24"/>
                <w:szCs w:val="24"/>
              </w:rPr>
            </w:pPr>
            <w:r>
              <w:rPr>
                <w:rFonts w:cs="" w:ascii="Cambria" w:hAnsi="Cambria"/>
                <w:b w:val="false"/>
                <w:bCs/>
                <w:sz w:val="24"/>
                <w:szCs w:val="24"/>
              </w:rPr>
              <w:t>2.1 – Quanto aos mecanismos de acompanhamento, cumprimento e divulgação dos trabalhos de conclusão de curso, você os considera: (...)</w:t>
            </w:r>
          </w:p>
          <w:p>
            <w:pPr>
              <w:pStyle w:val="Normal"/>
              <w:spacing w:before="0" w:after="0"/>
              <w:rPr>
                <w:rFonts w:cs="" w:ascii="Cambria" w:hAnsi="Cambria"/>
                <w:b w:val="false"/>
                <w:bCs/>
                <w:sz w:val="24"/>
                <w:szCs w:val="24"/>
              </w:rPr>
            </w:pPr>
            <w:r>
              <w:rPr>
                <w:rFonts w:cs="" w:ascii="Cambria" w:hAnsi="Cambria"/>
                <w:b w:val="false"/>
                <w:bCs/>
                <w:sz w:val="24"/>
                <w:szCs w:val="24"/>
              </w:rPr>
              <w:t>Alguns cursos, mas nem todos, tem a obrigatoridade de apresentação de TCC. Para os cursos que são concluídos com o TCC, os alunos afirmaram não ter acesso aos seus trabalhos.</w:t>
            </w:r>
          </w:p>
          <w:p>
            <w:pPr>
              <w:pStyle w:val="Normal"/>
              <w:spacing w:before="0" w:after="0"/>
              <w:rPr>
                <w:rFonts w:cs="" w:ascii="Cambria" w:hAnsi="Cambria"/>
                <w:b w:val="false"/>
                <w:bCs/>
                <w:i/>
                <w:sz w:val="24"/>
                <w:szCs w:val="24"/>
              </w:rPr>
            </w:pPr>
            <w:r>
              <w:rPr>
                <w:rFonts w:cs="" w:ascii="Cambria" w:hAnsi="Cambria"/>
                <w:b w:val="false"/>
                <w:bCs/>
                <w:i/>
                <w:sz w:val="24"/>
                <w:szCs w:val="24"/>
              </w:rPr>
              <w:t>“</w:t>
            </w:r>
            <w:r>
              <w:rPr>
                <w:rFonts w:cs="" w:ascii="Cambria" w:hAnsi="Cambria"/>
                <w:b w:val="false"/>
                <w:bCs/>
                <w:i/>
                <w:sz w:val="24"/>
                <w:szCs w:val="24"/>
              </w:rPr>
              <w:t>Meu curso não tem TCC”.</w:t>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Apoio ao Repositório Virtual de TCCS</w:t>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Justifica-se devido ao número de estudantes que declararam não ter acessos aos seus trabalhos de conclusão de curso.</w:t>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Este problema é institucional. A PROGRAD está envolvida com a criação de um repositório virtual. A CSA enviará, assim que a regulamentação estiver pronta pela PROGRAD, circular às Coordenações do Curso informando a necessidade do envio do material digitalizado para o arquivo virtual.</w:t>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w:t>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Aguardando a regulamentação da PROGRAD.</w:t>
            </w:r>
          </w:p>
        </w:tc>
      </w:tr>
      <w:tr>
        <w:trPr>
          <w:trHeight w:val="555" w:hRule="atLeast"/>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cs="" w:ascii="Cambria" w:hAnsi="Cambria"/>
                <w:b w:val="false"/>
                <w:bCs w:val="false"/>
                <w:sz w:val="24"/>
                <w:szCs w:val="24"/>
              </w:rPr>
            </w:pPr>
            <w:r>
              <w:rPr>
                <w:rFonts w:cs="" w:ascii="Cambria" w:hAnsi="Cambria"/>
                <w:b w:val="false"/>
                <w:bCs w:val="false"/>
                <w:sz w:val="24"/>
                <w:szCs w:val="24"/>
              </w:rPr>
              <w:t>2.5 – Como você avalia o apoio e o incentivo da sua unidade de ensino à organização dos estudantes e à participação dos Diretórios Acadêmicos (DA’s) nas discussões e atividades do seu curso.</w:t>
            </w:r>
          </w:p>
          <w:p>
            <w:pPr>
              <w:pStyle w:val="Normal"/>
              <w:spacing w:before="0" w:after="0"/>
              <w:rPr>
                <w:rFonts w:cs="" w:ascii="Cambria" w:hAnsi="Cambria"/>
                <w:b w:val="false"/>
                <w:bCs w:val="false"/>
                <w:i/>
                <w:sz w:val="24"/>
                <w:szCs w:val="24"/>
              </w:rPr>
            </w:pPr>
            <w:r>
              <w:rPr>
                <w:rFonts w:cs="" w:ascii="Cambria" w:hAnsi="Cambria"/>
                <w:b w:val="false"/>
                <w:bCs w:val="false"/>
                <w:i/>
                <w:sz w:val="24"/>
                <w:szCs w:val="24"/>
              </w:rPr>
              <w:t>“</w:t>
            </w:r>
            <w:r>
              <w:rPr>
                <w:rFonts w:cs="" w:ascii="Cambria" w:hAnsi="Cambria"/>
                <w:b w:val="false"/>
                <w:bCs w:val="false"/>
                <w:i/>
                <w:sz w:val="24"/>
                <w:szCs w:val="24"/>
              </w:rPr>
              <w:t>Na minha unidade não ocorre este estímulo a participação de estudantes em DA’s há uma percepção dos docentes de quanto mais longe os estudantes estiverem disto melhor para eles”. “Existe pouco envolvimento dos diretórios acadêmicos”. “Os DA’s não dividem suas informações com o público em geral”.</w:t>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Motivar maior participação/integração do DCE. Apoio aos diretórios acadêmicos do centro.</w:t>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Justifica-se pela falta de informação/integração dos alunos junto aos Diretórios Acadêmicos.</w:t>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Em parceira com os Diretórios Acadêmicos dos Estudantes mobilizar através de encontros periódicos, para discutir ações de comunicação e levantamento junto aos Diretórios Acadêmicos dos Cursos.</w:t>
            </w:r>
          </w:p>
          <w:p>
            <w:pPr>
              <w:pStyle w:val="Normal"/>
              <w:spacing w:before="0" w:after="0"/>
              <w:rPr>
                <w:rFonts w:ascii="Cambria" w:hAnsi="Cambria"/>
                <w:sz w:val="24"/>
                <w:szCs w:val="24"/>
              </w:rPr>
            </w:pPr>
            <w:r>
              <w:rPr>
                <w:rFonts w:ascii="Cambria" w:hAnsi="Cambria"/>
                <w:sz w:val="24"/>
                <w:szCs w:val="24"/>
              </w:rPr>
            </w:r>
          </w:p>
          <w:p>
            <w:pPr>
              <w:pStyle w:val="Normal"/>
              <w:spacing w:before="0" w:after="0"/>
              <w:rPr>
                <w:rFonts w:ascii="Cambria" w:hAnsi="Cambria"/>
                <w:sz w:val="24"/>
                <w:szCs w:val="24"/>
              </w:rPr>
            </w:pPr>
            <w:r>
              <w:rPr>
                <w:rFonts w:ascii="Cambria" w:hAnsi="Cambria"/>
                <w:sz w:val="24"/>
                <w:szCs w:val="24"/>
              </w:rPr>
              <w:t>Oferecer auxílio financeiro para eventos como: diárias para palestrantes, despesas com transportes para palestrante, bolsas e material de expediente para serem utilizados nas semanas acadêmicas dos cursos, cada DA terá o valor de R$ 1.000,00.</w:t>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R$ 6.000,00 (valor de custeio) para cada curso realizar sua Semana Acadêmica.</w:t>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Realizado. </w:t>
            </w:r>
            <w:r>
              <w:rPr>
                <w:rFonts w:ascii="Cambria" w:hAnsi="Cambria"/>
                <w:sz w:val="24"/>
                <w:szCs w:val="24"/>
              </w:rPr>
              <w:t xml:space="preserve">Todos os Cursos do campus receberam R$ 1.000,00 cada. </w:t>
            </w:r>
          </w:p>
        </w:tc>
      </w:tr>
      <w:tr>
        <w:trPr>
          <w:trHeight w:val="549" w:hRule="atLeast"/>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cs="" w:ascii="Cambria" w:hAnsi="Cambria"/>
                <w:b w:val="false"/>
                <w:bCs/>
                <w:sz w:val="24"/>
                <w:szCs w:val="24"/>
              </w:rPr>
            </w:pPr>
            <w:r>
              <w:rPr>
                <w:rFonts w:cs="" w:ascii="Cambria" w:hAnsi="Cambria"/>
                <w:b w:val="false"/>
                <w:bCs/>
                <w:sz w:val="24"/>
                <w:szCs w:val="24"/>
              </w:rPr>
              <w:t>2.4 – Como você considera a orientação e o acompanhamento das atividades práticas desenvolvidas nos laboratórios?</w:t>
            </w:r>
          </w:p>
          <w:p>
            <w:pPr>
              <w:pStyle w:val="Normal"/>
              <w:spacing w:before="0" w:after="0"/>
              <w:rPr>
                <w:rFonts w:cs="" w:ascii="Cambria" w:hAnsi="Cambria"/>
                <w:b w:val="false"/>
                <w:bCs/>
                <w:i/>
                <w:sz w:val="24"/>
                <w:szCs w:val="24"/>
              </w:rPr>
            </w:pPr>
            <w:r>
              <w:rPr>
                <w:rFonts w:cs="" w:ascii="Cambria" w:hAnsi="Cambria"/>
                <w:b w:val="false"/>
                <w:bCs/>
                <w:sz w:val="24"/>
                <w:szCs w:val="24"/>
              </w:rPr>
              <w:t>“</w:t>
            </w:r>
            <w:r>
              <w:rPr>
                <w:rFonts w:cs="" w:ascii="Cambria" w:hAnsi="Cambria"/>
                <w:b w:val="false"/>
                <w:bCs/>
                <w:i/>
                <w:sz w:val="24"/>
                <w:szCs w:val="24"/>
              </w:rPr>
              <w:t>Pouco usado o laboratório e a biblioteca em horários de aula.”</w:t>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Contratação de monitoria subsidiada (a partir deste ANP) pela Direção do campus em parceria com a PROGRAD. Assim, espera-se ter solucionado esta demanda.</w:t>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w:t>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w:t>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w:t>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Realizado. </w:t>
            </w:r>
            <w:r>
              <w:rPr>
                <w:rFonts w:ascii="Cambria" w:hAnsi="Cambria"/>
                <w:sz w:val="24"/>
                <w:szCs w:val="24"/>
              </w:rPr>
              <w:t xml:space="preserve"> A Direção do campus, junto a PROGRAD, pleiteou recurso de </w:t>
            </w:r>
            <w:r>
              <w:rPr>
                <w:rFonts w:ascii="Cambria" w:hAnsi="Cambria"/>
                <w:sz w:val="24"/>
                <w:szCs w:val="24"/>
              </w:rPr>
              <w:t>R$ 15.000,00 para Apoio Financeiro a Estudantes. Esse recurso foi distribuído por meio de editais.</w:t>
            </w:r>
            <w:r>
              <w:rPr>
                <w:rFonts w:ascii="Cambria" w:hAnsi="Cambria"/>
                <w:sz w:val="24"/>
                <w:szCs w:val="24"/>
              </w:rPr>
              <w:t xml:space="preserve"> </w:t>
            </w:r>
          </w:p>
        </w:tc>
      </w:tr>
      <w:tr>
        <w:trPr>
          <w:trHeight w:val="557" w:hRule="atLeast"/>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cs="" w:ascii="Cambria" w:hAnsi="Cambria"/>
                <w:b/>
                <w:bCs/>
                <w:sz w:val="24"/>
                <w:szCs w:val="24"/>
              </w:rPr>
            </w:pPr>
            <w:r>
              <w:rPr>
                <w:rFonts w:cs="" w:ascii="Cambria" w:hAnsi="Cambria"/>
                <w:b/>
                <w:bCs/>
                <w:sz w:val="24"/>
                <w:szCs w:val="24"/>
              </w:rPr>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r>
      <w:tr>
        <w:trPr>
          <w:trHeight w:val="387" w:hRule="atLeast"/>
          <w:cantSplit w:val="false"/>
        </w:trPr>
        <w:tc>
          <w:tcPr>
            <w:tcW w:w="14162" w:type="dxa"/>
            <w:gridSpan w:val="6"/>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EAF1DD"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Dimensão 4: Comunicação com a Sociedade</w:t>
            </w:r>
          </w:p>
        </w:tc>
      </w:tr>
      <w:tr>
        <w:trPr>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cs="" w:ascii="Cambria" w:hAnsi="Cambria"/>
                <w:b w:val="false"/>
                <w:bCs/>
                <w:sz w:val="24"/>
                <w:szCs w:val="24"/>
              </w:rPr>
            </w:pPr>
            <w:r>
              <w:rPr>
                <w:rFonts w:cs="" w:ascii="Cambria" w:hAnsi="Cambria"/>
                <w:b w:val="false"/>
                <w:bCs/>
                <w:sz w:val="24"/>
                <w:szCs w:val="24"/>
              </w:rPr>
              <w:t>Referência à Pesquisa de Autoavaliação Institucional</w:t>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Título da Ação (o que?)</w:t>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Justificativa</w:t>
            </w:r>
          </w:p>
          <w:p>
            <w:pPr>
              <w:pStyle w:val="Normal"/>
              <w:spacing w:before="0" w:after="0"/>
              <w:jc w:val="center"/>
              <w:rPr>
                <w:rFonts w:ascii="Cambria" w:hAnsi="Cambria"/>
                <w:sz w:val="24"/>
                <w:szCs w:val="24"/>
              </w:rPr>
            </w:pPr>
            <w:r>
              <w:rPr>
                <w:rFonts w:ascii="Cambria" w:hAnsi="Cambria"/>
                <w:sz w:val="24"/>
                <w:szCs w:val="24"/>
              </w:rPr>
              <w:t>(Por que?)</w:t>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Detalhamento da Ação</w:t>
            </w:r>
          </w:p>
          <w:p>
            <w:pPr>
              <w:pStyle w:val="Normal"/>
              <w:spacing w:before="0" w:after="0"/>
              <w:jc w:val="center"/>
              <w:rPr>
                <w:rFonts w:ascii="Cambria" w:hAnsi="Cambria"/>
                <w:sz w:val="24"/>
                <w:szCs w:val="24"/>
              </w:rPr>
            </w:pPr>
            <w:r>
              <w:rPr>
                <w:rFonts w:ascii="Cambria" w:hAnsi="Cambria"/>
                <w:sz w:val="24"/>
                <w:szCs w:val="24"/>
              </w:rPr>
              <w:t>(Como?)</w:t>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Custo Estimado</w:t>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jc w:val="center"/>
              <w:rPr>
                <w:rFonts w:ascii="Cambria" w:hAnsi="Cambria"/>
                <w:b/>
                <w:sz w:val="24"/>
                <w:szCs w:val="24"/>
              </w:rPr>
            </w:pPr>
            <w:r>
              <w:rPr>
                <w:rFonts w:ascii="Cambria" w:hAnsi="Cambria"/>
                <w:b/>
                <w:sz w:val="24"/>
                <w:szCs w:val="24"/>
              </w:rPr>
              <w:t>Situação (Realizado/Não Realizado)</w:t>
            </w:r>
          </w:p>
        </w:tc>
      </w:tr>
      <w:tr>
        <w:trPr>
          <w:trHeight w:val="603" w:hRule="atLeast"/>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cs="" w:ascii="Cambria" w:hAnsi="Cambria"/>
                <w:b w:val="false"/>
                <w:bCs/>
                <w:sz w:val="24"/>
                <w:szCs w:val="24"/>
              </w:rPr>
            </w:pPr>
            <w:r>
              <w:rPr>
                <w:rFonts w:cs="" w:ascii="Cambria" w:hAnsi="Cambria"/>
                <w:b w:val="false"/>
                <w:bCs/>
                <w:sz w:val="24"/>
                <w:szCs w:val="24"/>
              </w:rPr>
              <w:t>O levantamento das demandas foi baseado nas respostas que se apresentaram mais repetidamente nos questionários dos discentes de graduação:</w:t>
            </w:r>
          </w:p>
          <w:p>
            <w:pPr>
              <w:pStyle w:val="Normal"/>
              <w:spacing w:before="0" w:after="0"/>
              <w:rPr>
                <w:rFonts w:cs="" w:ascii="Cambria" w:hAnsi="Cambria"/>
                <w:b w:val="false"/>
                <w:bCs/>
                <w:sz w:val="24"/>
                <w:szCs w:val="24"/>
              </w:rPr>
            </w:pPr>
            <w:r>
              <w:rPr>
                <w:rFonts w:cs="" w:ascii="Cambria" w:hAnsi="Cambria"/>
                <w:b w:val="false"/>
                <w:bCs/>
                <w:sz w:val="24"/>
                <w:szCs w:val="24"/>
              </w:rPr>
              <w:t>3.2 – Como você avalia os canais de comunicação externa da instituição (canal multiweb, página da web, rádio universitária e TV Campus)?</w:t>
            </w:r>
          </w:p>
          <w:p>
            <w:pPr>
              <w:pStyle w:val="Normal"/>
              <w:spacing w:before="0" w:after="0"/>
              <w:rPr>
                <w:rFonts w:cs="" w:ascii="Cambria" w:hAnsi="Cambria"/>
                <w:b w:val="false"/>
                <w:bCs/>
                <w:i/>
                <w:sz w:val="24"/>
                <w:szCs w:val="24"/>
              </w:rPr>
            </w:pPr>
            <w:r>
              <w:rPr>
                <w:rFonts w:cs="" w:ascii="Cambria" w:hAnsi="Cambria"/>
                <w:b w:val="false"/>
                <w:bCs/>
                <w:i/>
                <w:sz w:val="24"/>
                <w:szCs w:val="24"/>
              </w:rPr>
              <w:t>”</w:t>
            </w:r>
            <w:r>
              <w:rPr>
                <w:rFonts w:cs="" w:ascii="Cambria" w:hAnsi="Cambria"/>
                <w:b w:val="false"/>
                <w:bCs/>
                <w:i/>
                <w:sz w:val="24"/>
                <w:szCs w:val="24"/>
              </w:rPr>
              <w:t>Deveria ter mais informações da coordenadoria do curso nas divulgações de eventos.”</w:t>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Divulgação dos canais de comunicação externos.</w:t>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Justifica-se pois existem os canais de comunicação, mas ainda não são parecidos de uma parcela de alunos.</w:t>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Melhorar a divulgação virtual (através de redes sociais) dos canais de comunicação externa existentes.</w:t>
            </w:r>
          </w:p>
          <w:p>
            <w:pPr>
              <w:pStyle w:val="Normal"/>
              <w:spacing w:before="0" w:after="0"/>
              <w:rPr>
                <w:rFonts w:ascii="Cambria" w:hAnsi="Cambria"/>
                <w:sz w:val="24"/>
                <w:szCs w:val="24"/>
              </w:rPr>
            </w:pPr>
            <w:r>
              <w:rPr>
                <w:rFonts w:ascii="Cambria" w:hAnsi="Cambria"/>
                <w:sz w:val="24"/>
                <w:szCs w:val="24"/>
              </w:rPr>
            </w:r>
          </w:p>
          <w:p>
            <w:pPr>
              <w:pStyle w:val="Normal"/>
              <w:spacing w:before="0" w:after="0"/>
              <w:rPr>
                <w:rFonts w:ascii="Cambria" w:hAnsi="Cambria"/>
                <w:sz w:val="24"/>
                <w:szCs w:val="24"/>
              </w:rPr>
            </w:pPr>
            <w:r>
              <w:rPr>
                <w:rFonts w:ascii="Cambria" w:hAnsi="Cambria"/>
                <w:sz w:val="24"/>
                <w:szCs w:val="24"/>
              </w:rPr>
              <w:t>Proporcionar maior visibilidade ao campus e aperfeiçoar a comunicação interna.</w:t>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R$ 3.000,00 (valor de custeio) para materiais de divulgação folders, banners, bloquinhos.</w:t>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Realizado. </w:t>
            </w:r>
            <w:r>
              <w:rPr>
                <w:rFonts w:ascii="Cambria" w:hAnsi="Cambria"/>
                <w:sz w:val="24"/>
                <w:szCs w:val="24"/>
              </w:rPr>
              <w:t xml:space="preserve">A Assessoria de Comunicação confeccionou fôlderes, adesivos, camisetas, calendários, banners e bloquinhos. Esses materiais estão sendo distribuídos na comunidade interna e externa. </w:t>
            </w:r>
          </w:p>
        </w:tc>
      </w:tr>
      <w:tr>
        <w:trPr>
          <w:trHeight w:val="555" w:hRule="atLeast"/>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cs="" w:ascii="Cambria" w:hAnsi="Cambria"/>
                <w:b/>
                <w:bCs/>
                <w:sz w:val="24"/>
                <w:szCs w:val="24"/>
              </w:rPr>
            </w:pPr>
            <w:r>
              <w:rPr>
                <w:rFonts w:cs="" w:ascii="Cambria" w:hAnsi="Cambria"/>
                <w:b/>
                <w:bCs/>
                <w:sz w:val="24"/>
                <w:szCs w:val="24"/>
              </w:rPr>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r>
      <w:tr>
        <w:trPr>
          <w:trHeight w:val="549" w:hRule="atLeast"/>
          <w:cantSplit w:val="false"/>
        </w:trPr>
        <w:tc>
          <w:tcPr>
            <w:tcW w:w="3365"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cs="" w:ascii="Cambria" w:hAnsi="Cambria"/>
                <w:b/>
                <w:bCs/>
                <w:sz w:val="24"/>
                <w:szCs w:val="24"/>
              </w:rPr>
            </w:pPr>
            <w:r>
              <w:rPr>
                <w:rFonts w:cs="" w:ascii="Cambria" w:hAnsi="Cambria"/>
                <w:b/>
                <w:bCs/>
                <w:sz w:val="24"/>
                <w:szCs w:val="24"/>
              </w:rPr>
            </w:r>
          </w:p>
        </w:tc>
        <w:tc>
          <w:tcPr>
            <w:tcW w:w="2267"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833"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39"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426"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432" w:type="dxa"/>
            <w:tcBorders>
              <w:top w:val="single" w:sz="8" w:space="0" w:color="9BBB59"/>
              <w:left w:val="single" w:sz="8" w:space="0" w:color="9BBB59"/>
              <w:bottom w:val="single" w:sz="8" w:space="0" w:color="9BBB59"/>
              <w:insideH w:val="single" w:sz="8" w:space="0" w:color="9BBB59"/>
              <w:right w:val="single" w:sz="8" w:space="0" w:color="9BBB59"/>
              <w:insideV w:val="single" w:sz="8" w:space="0" w:color="9BBB59"/>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r>
    </w:tbl>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r>
    </w:p>
    <w:tbl>
      <w:tblPr>
        <w:jc w:val="left"/>
        <w:tblInd w:w="-20" w:type="dxa"/>
        <w:tblBorders>
          <w:top w:val="single" w:sz="8" w:space="0" w:color="4BACC6"/>
          <w:left w:val="single" w:sz="8" w:space="0" w:color="4BACC6"/>
          <w:bottom w:val="single" w:sz="18" w:space="0" w:color="4BACC6"/>
          <w:insideH w:val="single" w:sz="18" w:space="0" w:color="4BACC6"/>
          <w:right w:val="single" w:sz="8" w:space="0" w:color="4BACC6"/>
          <w:insideV w:val="single" w:sz="8" w:space="0" w:color="4BACC6"/>
        </w:tblBorders>
        <w:tblCellMar>
          <w:top w:w="0" w:type="dxa"/>
          <w:left w:w="87" w:type="dxa"/>
          <w:bottom w:w="0" w:type="dxa"/>
          <w:right w:w="108" w:type="dxa"/>
        </w:tblCellMar>
      </w:tblPr>
      <w:tblGrid>
        <w:gridCol w:w="3318"/>
        <w:gridCol w:w="46"/>
        <w:gridCol w:w="2193"/>
        <w:gridCol w:w="74"/>
        <w:gridCol w:w="2649"/>
        <w:gridCol w:w="184"/>
        <w:gridCol w:w="1707"/>
        <w:gridCol w:w="132"/>
        <w:gridCol w:w="1547"/>
        <w:gridCol w:w="345"/>
        <w:gridCol w:w="1813"/>
      </w:tblGrid>
      <w:tr>
        <w:trPr>
          <w:cantSplit w:val="false"/>
        </w:trPr>
        <w:tc>
          <w:tcPr>
            <w:tcW w:w="14008" w:type="dxa"/>
            <w:gridSpan w:val="11"/>
            <w:tcBorders>
              <w:top w:val="single" w:sz="8" w:space="0" w:color="4BACC6"/>
              <w:left w:val="single" w:sz="8" w:space="0" w:color="4BACC6"/>
              <w:bottom w:val="single" w:sz="18" w:space="0" w:color="4BACC6"/>
              <w:insideH w:val="single" w:sz="18" w:space="0" w:color="4BACC6"/>
              <w:right w:val="single" w:sz="8" w:space="0" w:color="4BACC6"/>
              <w:insideV w:val="single" w:sz="8" w:space="0" w:color="4BACC6"/>
            </w:tcBorders>
            <w:shd w:fill="FFFFFF"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 xml:space="preserve">EIXO 4 – POLÍTICAS DE GESTÃO </w:t>
            </w:r>
          </w:p>
        </w:tc>
      </w:tr>
      <w:tr>
        <w:trPr>
          <w:trHeight w:val="387" w:hRule="atLeast"/>
          <w:cantSplit w:val="false"/>
        </w:trPr>
        <w:tc>
          <w:tcPr>
            <w:tcW w:w="14008" w:type="dxa"/>
            <w:gridSpan w:val="11"/>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E5DFEC"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Dimensão 6: Organização e Gestão da Instituição</w:t>
            </w:r>
          </w:p>
        </w:tc>
      </w:tr>
      <w:tr>
        <w:trPr>
          <w:cantSplit w:val="false"/>
        </w:trPr>
        <w:tc>
          <w:tcPr>
            <w:tcW w:w="3318"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cs="" w:ascii="Cambria" w:hAnsi="Cambria"/>
                <w:b w:val="false"/>
                <w:bCs/>
                <w:sz w:val="24"/>
                <w:szCs w:val="24"/>
              </w:rPr>
            </w:pPr>
            <w:bookmarkStart w:id="0" w:name="_GoBack"/>
            <w:bookmarkEnd w:id="0"/>
            <w:r>
              <w:rPr>
                <w:rFonts w:cs="" w:ascii="Cambria" w:hAnsi="Cambria"/>
                <w:b w:val="false"/>
                <w:bCs/>
                <w:sz w:val="24"/>
                <w:szCs w:val="24"/>
              </w:rPr>
              <w:t>Referência à Pesquisa de Autoavaliação Institucional</w:t>
            </w:r>
          </w:p>
        </w:tc>
        <w:tc>
          <w:tcPr>
            <w:tcW w:w="22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Título da Ação (o que?)</w:t>
            </w:r>
          </w:p>
        </w:tc>
        <w:tc>
          <w:tcPr>
            <w:tcW w:w="272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Justificativa</w:t>
            </w:r>
          </w:p>
          <w:p>
            <w:pPr>
              <w:pStyle w:val="Normal"/>
              <w:spacing w:before="0" w:after="0"/>
              <w:jc w:val="center"/>
              <w:rPr>
                <w:rFonts w:ascii="Cambria" w:hAnsi="Cambria"/>
                <w:sz w:val="24"/>
                <w:szCs w:val="24"/>
              </w:rPr>
            </w:pPr>
            <w:r>
              <w:rPr>
                <w:rFonts w:ascii="Cambria" w:hAnsi="Cambria"/>
                <w:sz w:val="24"/>
                <w:szCs w:val="24"/>
              </w:rPr>
              <w:t>(Por que?)</w:t>
            </w:r>
          </w:p>
        </w:tc>
        <w:tc>
          <w:tcPr>
            <w:tcW w:w="1891"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Detalhamento da Ação</w:t>
            </w:r>
          </w:p>
          <w:p>
            <w:pPr>
              <w:pStyle w:val="Normal"/>
              <w:spacing w:before="0" w:after="0"/>
              <w:jc w:val="center"/>
              <w:rPr>
                <w:rFonts w:ascii="Cambria" w:hAnsi="Cambria"/>
                <w:sz w:val="24"/>
                <w:szCs w:val="24"/>
              </w:rPr>
            </w:pPr>
            <w:r>
              <w:rPr>
                <w:rFonts w:ascii="Cambria" w:hAnsi="Cambria"/>
                <w:sz w:val="24"/>
                <w:szCs w:val="24"/>
              </w:rPr>
              <w:t>(Como?)</w:t>
            </w:r>
          </w:p>
        </w:tc>
        <w:tc>
          <w:tcPr>
            <w:tcW w:w="2024" w:type="dxa"/>
            <w:gridSpan w:val="3"/>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Custo Estimado</w:t>
            </w:r>
          </w:p>
        </w:tc>
        <w:tc>
          <w:tcPr>
            <w:tcW w:w="1813"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b/>
                <w:sz w:val="24"/>
                <w:szCs w:val="24"/>
              </w:rPr>
            </w:pPr>
            <w:r>
              <w:rPr>
                <w:rFonts w:ascii="Cambria" w:hAnsi="Cambria"/>
                <w:b/>
                <w:sz w:val="24"/>
                <w:szCs w:val="24"/>
              </w:rPr>
              <w:t>Situação (Realizado/Não Realizado)</w:t>
            </w:r>
          </w:p>
        </w:tc>
      </w:tr>
      <w:tr>
        <w:trPr>
          <w:trHeight w:val="603" w:hRule="atLeast"/>
          <w:cantSplit w:val="false"/>
        </w:trPr>
        <w:tc>
          <w:tcPr>
            <w:tcW w:w="3318"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cs="" w:ascii="Cambria" w:hAnsi="Cambria"/>
                <w:b w:val="false"/>
                <w:bCs/>
                <w:sz w:val="24"/>
                <w:szCs w:val="24"/>
              </w:rPr>
            </w:pPr>
            <w:bookmarkStart w:id="1" w:name="_GoBack1"/>
            <w:bookmarkEnd w:id="1"/>
            <w:r>
              <w:rPr>
                <w:rFonts w:cs="" w:ascii="Cambria" w:hAnsi="Cambria"/>
                <w:b w:val="false"/>
                <w:bCs/>
                <w:sz w:val="24"/>
                <w:szCs w:val="24"/>
              </w:rPr>
              <w:t>O levantamento das demandas foi baseado nas respostas que se apresentaram mais repetidamente nos questionários dos discentes de graduação:</w:t>
            </w:r>
          </w:p>
          <w:p>
            <w:pPr>
              <w:pStyle w:val="Normal"/>
              <w:spacing w:before="0" w:after="0"/>
              <w:rPr>
                <w:rFonts w:cs="" w:ascii="Cambria" w:hAnsi="Cambria"/>
                <w:b w:val="false"/>
                <w:bCs/>
                <w:sz w:val="24"/>
                <w:szCs w:val="24"/>
              </w:rPr>
            </w:pPr>
            <w:r>
              <w:rPr>
                <w:rFonts w:cs="" w:ascii="Cambria" w:hAnsi="Cambria"/>
                <w:b w:val="false"/>
                <w:bCs/>
                <w:sz w:val="24"/>
                <w:szCs w:val="24"/>
              </w:rPr>
            </w:r>
          </w:p>
          <w:p>
            <w:pPr>
              <w:pStyle w:val="Normal"/>
              <w:spacing w:before="0" w:after="0"/>
              <w:rPr>
                <w:rFonts w:cs="" w:ascii="Cambria" w:hAnsi="Cambria"/>
                <w:b w:val="false"/>
                <w:bCs/>
                <w:sz w:val="24"/>
                <w:szCs w:val="24"/>
              </w:rPr>
            </w:pPr>
            <w:r>
              <w:rPr>
                <w:rFonts w:cs="" w:ascii="Cambria" w:hAnsi="Cambria"/>
                <w:b w:val="false"/>
                <w:bCs/>
                <w:sz w:val="24"/>
                <w:szCs w:val="24"/>
              </w:rPr>
              <w:t>4.4 – Qual a sua avaliação com relação à disponibilidade e à atualização do acervo das bibliotecas que você utiliza:</w:t>
            </w:r>
          </w:p>
          <w:p>
            <w:pPr>
              <w:pStyle w:val="Normal"/>
              <w:spacing w:before="0" w:after="0"/>
              <w:rPr>
                <w:rFonts w:cs="" w:ascii="Cambria" w:hAnsi="Cambria"/>
                <w:b w:val="false"/>
                <w:bCs/>
                <w:i/>
                <w:sz w:val="24"/>
                <w:szCs w:val="24"/>
              </w:rPr>
            </w:pPr>
            <w:r>
              <w:rPr>
                <w:rFonts w:cs="" w:ascii="Cambria" w:hAnsi="Cambria"/>
                <w:b w:val="false"/>
                <w:bCs/>
                <w:i/>
                <w:sz w:val="24"/>
                <w:szCs w:val="24"/>
              </w:rPr>
              <w:t>“</w:t>
            </w:r>
            <w:r>
              <w:rPr>
                <w:rFonts w:cs="" w:ascii="Cambria" w:hAnsi="Cambria"/>
                <w:b w:val="false"/>
                <w:bCs/>
                <w:i/>
                <w:sz w:val="24"/>
                <w:szCs w:val="24"/>
              </w:rPr>
              <w:t>Faltam livros pedagógicos na biblioteca.”</w:t>
            </w:r>
          </w:p>
        </w:tc>
        <w:tc>
          <w:tcPr>
            <w:tcW w:w="22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Divulgar os canais de solicitação de empréstimo/compra de livros.</w:t>
            </w:r>
          </w:p>
        </w:tc>
        <w:tc>
          <w:tcPr>
            <w:tcW w:w="272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Uma parcela considerável de alunos afirmou que faltam livros no acervo da biblioteca.</w:t>
            </w:r>
          </w:p>
        </w:tc>
        <w:tc>
          <w:tcPr>
            <w:tcW w:w="1891"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Pesquisar junto aos professores dos cursos quais os livros mais utilizados e fazer um levantamento dos livros existes em menor quantidade e divulgar os canais de solicitação de compra e, principalmente, empréstimo de livros através da Biblioteca Central.</w:t>
            </w:r>
          </w:p>
        </w:tc>
        <w:tc>
          <w:tcPr>
            <w:tcW w:w="2024" w:type="dxa"/>
            <w:gridSpan w:val="3"/>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w:t>
            </w:r>
          </w:p>
        </w:tc>
        <w:tc>
          <w:tcPr>
            <w:tcW w:w="1813"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Realizado. </w:t>
            </w:r>
            <w:r>
              <w:rPr>
                <w:rFonts w:ascii="Cambria" w:hAnsi="Cambria"/>
                <w:sz w:val="24"/>
                <w:szCs w:val="24"/>
              </w:rPr>
              <w:t>Nas reuniões de Conselho do campus, foi repassado a informação para os docentes.</w:t>
            </w:r>
          </w:p>
        </w:tc>
      </w:tr>
      <w:tr>
        <w:trPr>
          <w:trHeight w:val="557" w:hRule="atLeast"/>
          <w:cantSplit w:val="false"/>
        </w:trPr>
        <w:tc>
          <w:tcPr>
            <w:tcW w:w="3318"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cs="" w:ascii="Cambria" w:hAnsi="Cambria"/>
                <w:b/>
                <w:bCs/>
                <w:sz w:val="24"/>
                <w:szCs w:val="24"/>
              </w:rPr>
            </w:pPr>
            <w:r>
              <w:rPr>
                <w:rFonts w:cs="" w:ascii="Cambria" w:hAnsi="Cambria"/>
                <w:b/>
                <w:bCs/>
                <w:sz w:val="24"/>
                <w:szCs w:val="24"/>
              </w:rPr>
            </w:r>
          </w:p>
        </w:tc>
        <w:tc>
          <w:tcPr>
            <w:tcW w:w="22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72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91"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024" w:type="dxa"/>
            <w:gridSpan w:val="3"/>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13"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r>
      <w:tr>
        <w:trPr>
          <w:cantSplit w:val="false"/>
        </w:trPr>
        <w:tc>
          <w:tcPr>
            <w:tcW w:w="14008" w:type="dxa"/>
            <w:gridSpan w:val="11"/>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pPr>
            <w:r>
              <w:rPr/>
            </w:r>
          </w:p>
          <w:p>
            <w:pPr>
              <w:pStyle w:val="Normal"/>
              <w:spacing w:before="0" w:after="0"/>
              <w:jc w:val="center"/>
              <w:rPr/>
            </w:pPr>
            <w:r>
              <w:rPr/>
            </w:r>
          </w:p>
          <w:p>
            <w:pPr>
              <w:pStyle w:val="Normal"/>
              <w:spacing w:before="0" w:after="0"/>
              <w:jc w:val="center"/>
              <w:rPr>
                <w:rFonts w:cs="" w:ascii="Cambria" w:hAnsi="Cambria"/>
                <w:b/>
                <w:bCs/>
                <w:sz w:val="24"/>
                <w:szCs w:val="24"/>
              </w:rPr>
            </w:pPr>
            <w:r>
              <w:rPr>
                <w:rFonts w:cs="" w:ascii="Cambria" w:hAnsi="Cambria"/>
                <w:b/>
                <w:bCs/>
                <w:sz w:val="24"/>
                <w:szCs w:val="24"/>
              </w:rPr>
              <w:t xml:space="preserve">EIXO 5 – INFRAESTRUTURA </w:t>
            </w:r>
          </w:p>
        </w:tc>
      </w:tr>
      <w:tr>
        <w:trPr>
          <w:cantSplit w:val="false"/>
        </w:trPr>
        <w:tc>
          <w:tcPr>
            <w:tcW w:w="14008" w:type="dxa"/>
            <w:gridSpan w:val="11"/>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D2EAF1" w:val="clear"/>
            <w:tcMar>
              <w:left w:w="87" w:type="dxa"/>
            </w:tcMar>
          </w:tcPr>
          <w:p>
            <w:pPr>
              <w:pStyle w:val="Normal"/>
              <w:spacing w:before="0" w:after="0"/>
              <w:jc w:val="center"/>
              <w:rPr>
                <w:rFonts w:cs="" w:ascii="Cambria" w:hAnsi="Cambria"/>
                <w:b/>
                <w:bCs/>
                <w:sz w:val="24"/>
                <w:szCs w:val="24"/>
              </w:rPr>
            </w:pPr>
            <w:r>
              <w:rPr>
                <w:rFonts w:cs="" w:ascii="Cambria" w:hAnsi="Cambria"/>
                <w:b/>
                <w:bCs/>
                <w:sz w:val="24"/>
                <w:szCs w:val="24"/>
              </w:rPr>
              <w:t>Dimensão 7: Infraestrutura Física</w:t>
            </w:r>
          </w:p>
        </w:tc>
      </w:tr>
      <w:tr>
        <w:trPr>
          <w:cantSplit w:val="false"/>
        </w:trPr>
        <w:tc>
          <w:tcPr>
            <w:tcW w:w="3364"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cs="" w:ascii="Cambria" w:hAnsi="Cambria"/>
                <w:b w:val="false"/>
                <w:bCs/>
                <w:sz w:val="24"/>
                <w:szCs w:val="24"/>
              </w:rPr>
            </w:pPr>
            <w:r>
              <w:rPr>
                <w:rFonts w:cs="" w:ascii="Cambria" w:hAnsi="Cambria"/>
                <w:b w:val="false"/>
                <w:bCs/>
                <w:sz w:val="24"/>
                <w:szCs w:val="24"/>
              </w:rPr>
              <w:t>Referência à Pesquisa de Autoavaliação Institucional</w:t>
            </w:r>
          </w:p>
        </w:tc>
        <w:tc>
          <w:tcPr>
            <w:tcW w:w="2267"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Título da Ação (o que?)</w:t>
            </w:r>
          </w:p>
        </w:tc>
        <w:tc>
          <w:tcPr>
            <w:tcW w:w="283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Justificativa</w:t>
            </w:r>
          </w:p>
          <w:p>
            <w:pPr>
              <w:pStyle w:val="Normal"/>
              <w:spacing w:before="0" w:after="0"/>
              <w:jc w:val="center"/>
              <w:rPr>
                <w:rFonts w:ascii="Cambria" w:hAnsi="Cambria"/>
                <w:sz w:val="24"/>
                <w:szCs w:val="24"/>
              </w:rPr>
            </w:pPr>
            <w:r>
              <w:rPr>
                <w:rFonts w:ascii="Cambria" w:hAnsi="Cambria"/>
                <w:sz w:val="24"/>
                <w:szCs w:val="24"/>
              </w:rPr>
              <w:t>(Por que?)</w:t>
            </w:r>
          </w:p>
        </w:tc>
        <w:tc>
          <w:tcPr>
            <w:tcW w:w="18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Detalhamento da Ação</w:t>
            </w:r>
          </w:p>
          <w:p>
            <w:pPr>
              <w:pStyle w:val="Normal"/>
              <w:spacing w:before="0" w:after="0"/>
              <w:jc w:val="center"/>
              <w:rPr>
                <w:rFonts w:ascii="Cambria" w:hAnsi="Cambria"/>
                <w:sz w:val="24"/>
                <w:szCs w:val="24"/>
              </w:rPr>
            </w:pPr>
            <w:r>
              <w:rPr>
                <w:rFonts w:ascii="Cambria" w:hAnsi="Cambria"/>
                <w:sz w:val="24"/>
                <w:szCs w:val="24"/>
              </w:rPr>
              <w:t>(Como?)</w:t>
            </w:r>
          </w:p>
          <w:p>
            <w:pPr>
              <w:pStyle w:val="Normal"/>
              <w:spacing w:before="0" w:after="0"/>
              <w:jc w:val="center"/>
              <w:rPr>
                <w:rFonts w:ascii="Cambria" w:hAnsi="Cambria"/>
                <w:sz w:val="24"/>
                <w:szCs w:val="24"/>
              </w:rPr>
            </w:pPr>
            <w:r>
              <w:rPr>
                <w:rFonts w:ascii="Cambria" w:hAnsi="Cambria"/>
                <w:sz w:val="24"/>
                <w:szCs w:val="24"/>
              </w:rPr>
              <w:t>Como será efetivado?</w:t>
            </w:r>
          </w:p>
        </w:tc>
        <w:tc>
          <w:tcPr>
            <w:tcW w:w="1547"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sz w:val="24"/>
                <w:szCs w:val="24"/>
              </w:rPr>
            </w:pPr>
            <w:r>
              <w:rPr>
                <w:rFonts w:ascii="Cambria" w:hAnsi="Cambria"/>
                <w:sz w:val="24"/>
                <w:szCs w:val="24"/>
              </w:rPr>
              <w:t>Custo Estimado</w:t>
            </w:r>
          </w:p>
        </w:tc>
        <w:tc>
          <w:tcPr>
            <w:tcW w:w="2158"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jc w:val="center"/>
              <w:rPr>
                <w:rFonts w:ascii="Cambria" w:hAnsi="Cambria"/>
                <w:b/>
                <w:sz w:val="24"/>
                <w:szCs w:val="24"/>
              </w:rPr>
            </w:pPr>
            <w:r>
              <w:rPr>
                <w:rFonts w:ascii="Cambria" w:hAnsi="Cambria"/>
                <w:b/>
                <w:sz w:val="24"/>
                <w:szCs w:val="24"/>
              </w:rPr>
              <w:t>Situação (Realizado/Não Realizado)</w:t>
            </w:r>
          </w:p>
        </w:tc>
      </w:tr>
      <w:tr>
        <w:trPr>
          <w:trHeight w:val="603" w:hRule="atLeast"/>
          <w:cantSplit w:val="false"/>
        </w:trPr>
        <w:tc>
          <w:tcPr>
            <w:tcW w:w="3364"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cs="" w:ascii="Cambria" w:hAnsi="Cambria"/>
                <w:b w:val="false"/>
                <w:bCs/>
                <w:sz w:val="24"/>
                <w:szCs w:val="24"/>
              </w:rPr>
            </w:pPr>
            <w:r>
              <w:rPr>
                <w:rFonts w:cs="" w:ascii="Cambria" w:hAnsi="Cambria"/>
                <w:b w:val="false"/>
                <w:bCs/>
                <w:sz w:val="24"/>
                <w:szCs w:val="24"/>
              </w:rPr>
              <w:t>O levantamento das demandas foi baseado nas respostas que se apresentaram mais repetidamente nos questionários dos discentes de graduação:</w:t>
            </w:r>
          </w:p>
          <w:p>
            <w:pPr>
              <w:pStyle w:val="Normal"/>
              <w:spacing w:before="0" w:after="0"/>
              <w:rPr>
                <w:rFonts w:cs="" w:ascii="Cambria" w:hAnsi="Cambria"/>
                <w:bCs/>
                <w:sz w:val="24"/>
                <w:szCs w:val="24"/>
              </w:rPr>
            </w:pPr>
            <w:r>
              <w:rPr>
                <w:rFonts w:cs="" w:ascii="Cambria" w:hAnsi="Cambria"/>
                <w:bCs/>
                <w:sz w:val="24"/>
                <w:szCs w:val="24"/>
              </w:rPr>
            </w:r>
          </w:p>
          <w:p>
            <w:pPr>
              <w:pStyle w:val="Normal"/>
              <w:tabs>
                <w:tab w:val="right" w:pos="3153" w:leader="none"/>
              </w:tabs>
              <w:spacing w:before="0" w:after="0"/>
              <w:rPr>
                <w:rFonts w:cs="" w:ascii="Cambria" w:hAnsi="Cambria"/>
                <w:b w:val="false"/>
                <w:bCs/>
                <w:sz w:val="24"/>
                <w:szCs w:val="24"/>
              </w:rPr>
            </w:pPr>
            <w:r>
              <w:rPr>
                <w:rFonts w:cs="" w:ascii="Cambria" w:hAnsi="Cambria"/>
                <w:b w:val="false"/>
                <w:bCs/>
                <w:sz w:val="24"/>
                <w:szCs w:val="24"/>
              </w:rPr>
              <w:t>5.1 – Nas condições de infraestrutura, são considerados os aspectos ambientais (acústica, iluminação, ventilação, temperatura, etc.) bem como a disponibilidade, conservação e adequação de instalações (salas de aula, laboratórios e ambientes administrativos). Num contexto geral, como você avalia a sua unidade/subunidade?</w:t>
            </w:r>
          </w:p>
          <w:p>
            <w:pPr>
              <w:pStyle w:val="Normal"/>
              <w:tabs>
                <w:tab w:val="right" w:pos="3153" w:leader="none"/>
              </w:tabs>
              <w:spacing w:before="0" w:after="0"/>
              <w:rPr>
                <w:rFonts w:cs="" w:ascii="Cambria" w:hAnsi="Cambria"/>
                <w:b w:val="false"/>
                <w:bCs/>
                <w:sz w:val="24"/>
                <w:szCs w:val="24"/>
              </w:rPr>
            </w:pPr>
            <w:r>
              <w:rPr>
                <w:rFonts w:cs="" w:ascii="Cambria" w:hAnsi="Cambria"/>
                <w:b w:val="false"/>
                <w:bCs/>
                <w:i/>
                <w:sz w:val="24"/>
                <w:szCs w:val="24"/>
              </w:rPr>
              <w:t>“</w:t>
            </w:r>
            <w:r>
              <w:rPr>
                <w:rFonts w:cs="" w:ascii="Cambria" w:hAnsi="Cambria"/>
                <w:b w:val="false"/>
                <w:bCs/>
                <w:i/>
                <w:sz w:val="24"/>
                <w:szCs w:val="24"/>
              </w:rPr>
              <w:t>Por gentileza peço a melhoria da internet e colocar ar condicionado em todas as salas...”</w:t>
            </w:r>
            <w:r>
              <w:rPr>
                <w:rFonts w:cs="" w:ascii="Cambria" w:hAnsi="Cambria"/>
                <w:b w:val="false"/>
                <w:bCs/>
                <w:sz w:val="24"/>
                <w:szCs w:val="24"/>
              </w:rPr>
              <w:tab/>
            </w:r>
          </w:p>
        </w:tc>
        <w:tc>
          <w:tcPr>
            <w:tcW w:w="2267"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Melhoria da ventilação/tempera-tura nas salas de aula.</w:t>
            </w:r>
          </w:p>
        </w:tc>
        <w:tc>
          <w:tcPr>
            <w:tcW w:w="283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Grande parcela dos discentes afirmou a necessidade de melhorias quanto à ventilação e ao condicionamento do ar. Segundo levantamento da CSA, 19 sala de aula não apresentam ar condicionado instalado.</w:t>
            </w:r>
          </w:p>
        </w:tc>
        <w:tc>
          <w:tcPr>
            <w:tcW w:w="18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Aquisição de equipamentos de ar condicionado e instalação dos mesmos nas salas de aula.</w:t>
            </w:r>
          </w:p>
        </w:tc>
        <w:tc>
          <w:tcPr>
            <w:tcW w:w="1547"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R$ 33.000 (valor de capital) para aquisição e instalação de condicionado</w:t>
            </w:r>
            <w:r>
              <w:rPr>
                <w:rFonts w:ascii="Cambria" w:hAnsi="Cambria"/>
                <w:sz w:val="24"/>
                <w:szCs w:val="24"/>
              </w:rPr>
              <w:t>res de ar</w:t>
            </w:r>
            <w:r>
              <w:rPr>
                <w:rFonts w:ascii="Cambria" w:hAnsi="Cambria"/>
                <w:sz w:val="24"/>
                <w:szCs w:val="24"/>
              </w:rPr>
              <w:t>.</w:t>
            </w:r>
          </w:p>
        </w:tc>
        <w:tc>
          <w:tcPr>
            <w:tcW w:w="2158"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Realizado. </w:t>
            </w:r>
            <w:r>
              <w:rPr>
                <w:rFonts w:ascii="Cambria" w:hAnsi="Cambria"/>
                <w:sz w:val="24"/>
                <w:szCs w:val="24"/>
              </w:rPr>
              <w:t xml:space="preserve">Fora m adquiridos 14 condicionadores de ar de 18.000 BTUs e 2 condicionadores de ar de 36.000 BTUs. </w:t>
            </w:r>
          </w:p>
        </w:tc>
      </w:tr>
      <w:tr>
        <w:trPr>
          <w:trHeight w:val="555" w:hRule="atLeast"/>
          <w:cantSplit w:val="false"/>
        </w:trPr>
        <w:tc>
          <w:tcPr>
            <w:tcW w:w="3364"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cs="" w:ascii="Cambria" w:hAnsi="Cambria"/>
                <w:b w:val="false"/>
                <w:bCs/>
                <w:sz w:val="24"/>
                <w:szCs w:val="24"/>
              </w:rPr>
            </w:pPr>
            <w:r>
              <w:rPr>
                <w:rFonts w:cs="" w:ascii="Cambria" w:hAnsi="Cambria"/>
                <w:b w:val="false"/>
                <w:bCs/>
                <w:sz w:val="24"/>
                <w:szCs w:val="24"/>
              </w:rPr>
              <w:t>5.2 – As condições de disponibilidade, conservação e acesso aos equipamentos, recursos audiovisuais, multimídia, internet e intranet na unidade/subunidade em que você atua são: (...)</w:t>
            </w:r>
          </w:p>
          <w:p>
            <w:pPr>
              <w:pStyle w:val="Normal"/>
              <w:spacing w:before="0" w:after="0"/>
              <w:rPr>
                <w:rFonts w:cs="" w:ascii="Cambria" w:hAnsi="Cambria"/>
                <w:b w:val="false"/>
                <w:bCs/>
                <w:sz w:val="24"/>
                <w:szCs w:val="24"/>
              </w:rPr>
            </w:pPr>
            <w:r>
              <w:rPr>
                <w:rFonts w:cs="" w:ascii="Cambria" w:hAnsi="Cambria"/>
                <w:b w:val="false"/>
                <w:bCs/>
                <w:sz w:val="24"/>
                <w:szCs w:val="24"/>
              </w:rPr>
            </w:r>
          </w:p>
          <w:p>
            <w:pPr>
              <w:pStyle w:val="Normal"/>
              <w:spacing w:before="0" w:after="0"/>
              <w:rPr>
                <w:rFonts w:cs="" w:ascii="Cambria" w:hAnsi="Cambria"/>
                <w:b w:val="false"/>
                <w:bCs/>
                <w:i/>
                <w:sz w:val="24"/>
                <w:szCs w:val="24"/>
              </w:rPr>
            </w:pPr>
            <w:r>
              <w:rPr>
                <w:rFonts w:cs="" w:ascii="Cambria" w:hAnsi="Cambria"/>
                <w:b w:val="false"/>
                <w:bCs/>
                <w:i/>
                <w:sz w:val="24"/>
                <w:szCs w:val="24"/>
              </w:rPr>
              <w:t>“</w:t>
            </w:r>
            <w:r>
              <w:rPr>
                <w:rFonts w:cs="" w:ascii="Cambria" w:hAnsi="Cambria"/>
                <w:b w:val="false"/>
                <w:bCs/>
                <w:i/>
                <w:sz w:val="24"/>
                <w:szCs w:val="24"/>
              </w:rPr>
              <w:t>Por gentileza peço a melhoria da internet e colocar ar condicionado em todas as salas...”</w:t>
            </w:r>
          </w:p>
          <w:p>
            <w:pPr>
              <w:pStyle w:val="Normal"/>
              <w:spacing w:before="0" w:after="0"/>
              <w:rPr>
                <w:rFonts w:cs="" w:ascii="Cambria" w:hAnsi="Cambria"/>
                <w:b w:val="false"/>
                <w:bCs/>
                <w:i/>
                <w:sz w:val="24"/>
                <w:szCs w:val="24"/>
              </w:rPr>
            </w:pPr>
            <w:r>
              <w:rPr>
                <w:rFonts w:cs="" w:ascii="Cambria" w:hAnsi="Cambria"/>
                <w:b w:val="false"/>
                <w:bCs/>
                <w:i/>
                <w:sz w:val="24"/>
                <w:szCs w:val="24"/>
              </w:rPr>
              <w:t>“</w:t>
            </w:r>
            <w:r>
              <w:rPr>
                <w:rFonts w:cs="" w:ascii="Cambria" w:hAnsi="Cambria"/>
                <w:b w:val="false"/>
                <w:bCs/>
                <w:i/>
                <w:sz w:val="24"/>
                <w:szCs w:val="24"/>
              </w:rPr>
              <w:t>Melhoramento dos datas shows.”</w:t>
            </w:r>
          </w:p>
        </w:tc>
        <w:tc>
          <w:tcPr>
            <w:tcW w:w="2267"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Melhoria dos recursos audiovisuais nas salas de aula e auditório..</w:t>
            </w:r>
          </w:p>
        </w:tc>
        <w:tc>
          <w:tcPr>
            <w:tcW w:w="283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Porque muitos discentes afirmaram que existe precariedade dos </w:t>
            </w:r>
            <w:r>
              <w:rPr>
                <w:rFonts w:ascii="Cambria" w:hAnsi="Cambria"/>
                <w:i/>
                <w:iCs/>
                <w:sz w:val="24"/>
                <w:szCs w:val="24"/>
              </w:rPr>
              <w:t>data shows</w:t>
            </w:r>
            <w:r>
              <w:rPr>
                <w:rFonts w:ascii="Cambria" w:hAnsi="Cambria"/>
                <w:sz w:val="24"/>
                <w:szCs w:val="24"/>
              </w:rPr>
              <w:t xml:space="preserve"> devido a equipamentos defeituosos, sem condições de uso e problemas no acesso à internet.</w:t>
            </w:r>
          </w:p>
        </w:tc>
        <w:tc>
          <w:tcPr>
            <w:tcW w:w="18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Aquisição de data shows e roteadores. Comunicar a demanda de falta de material audiovisual às Chefias de Departamento e ao Conselho de Centro.</w:t>
            </w:r>
          </w:p>
        </w:tc>
        <w:tc>
          <w:tcPr>
            <w:tcW w:w="1547"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R$ 15.000,00 (valor de capital) para aquisição de data shows e roteadores.</w:t>
            </w:r>
          </w:p>
        </w:tc>
        <w:tc>
          <w:tcPr>
            <w:tcW w:w="2158"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Realizado em partes, pois, devido ao não registro de preços desses equipamentos, utilizou-se o recurso para compras de equipamentos como projetores multimídia e quadros brancos para as salas de aula, que também eram demandas institucionais.</w:t>
            </w:r>
          </w:p>
        </w:tc>
      </w:tr>
      <w:tr>
        <w:trPr>
          <w:trHeight w:val="549" w:hRule="atLeast"/>
          <w:cantSplit w:val="false"/>
        </w:trPr>
        <w:tc>
          <w:tcPr>
            <w:tcW w:w="3364"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cs="" w:ascii="Cambria" w:hAnsi="Cambria"/>
                <w:b w:val="false"/>
                <w:bCs/>
                <w:sz w:val="24"/>
                <w:szCs w:val="24"/>
              </w:rPr>
            </w:pPr>
            <w:r>
              <w:rPr>
                <w:rFonts w:cs="" w:ascii="Cambria" w:hAnsi="Cambria"/>
                <w:b w:val="false"/>
                <w:bCs/>
                <w:sz w:val="24"/>
                <w:szCs w:val="24"/>
              </w:rPr>
              <w:t>5.4 – Qual a sua avaliação com relação à disponibilidade e conservação dos espaços de convivência que você utiliza? O trabalho de melhoramento dos espaços de convivências já iniciou, entretanto, como não foram sanadas todas as demandas, as ações serão continuadas.</w:t>
            </w:r>
          </w:p>
        </w:tc>
        <w:tc>
          <w:tcPr>
            <w:tcW w:w="2267"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Ajardinamento e lazer do campus.</w:t>
            </w:r>
          </w:p>
        </w:tc>
        <w:tc>
          <w:tcPr>
            <w:tcW w:w="283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Melhorar a qualidade de vida da comunidade interna do campus.</w:t>
            </w:r>
          </w:p>
        </w:tc>
        <w:tc>
          <w:tcPr>
            <w:tcW w:w="18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Será ampliada a jardinagem do campus Palmeira das Missões por meio de projetos gerenciados por professores/TAE responsáveis pela execução com o apoio de um bolsista.</w:t>
            </w:r>
          </w:p>
        </w:tc>
        <w:tc>
          <w:tcPr>
            <w:tcW w:w="1547"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R$ 7.000,00 (valor de capital) para compra de bancos.</w:t>
            </w:r>
          </w:p>
          <w:p>
            <w:pPr>
              <w:pStyle w:val="Normal"/>
              <w:spacing w:before="0" w:after="0"/>
              <w:rPr>
                <w:rFonts w:ascii="Cambria" w:hAnsi="Cambria"/>
                <w:sz w:val="24"/>
                <w:szCs w:val="24"/>
              </w:rPr>
            </w:pPr>
            <w:r>
              <w:rPr>
                <w:rFonts w:ascii="Cambria" w:hAnsi="Cambria"/>
                <w:sz w:val="24"/>
                <w:szCs w:val="24"/>
              </w:rPr>
              <w:t>R$ 3.000,00 (valor de custeio) para compra de insumos para jardinagem.</w:t>
            </w:r>
          </w:p>
        </w:tc>
        <w:tc>
          <w:tcPr>
            <w:tcW w:w="2158"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 xml:space="preserve">Realizado em partes, pois como não havia registro de preço para compra de bancos, utilizou-se o </w:t>
            </w:r>
            <w:r>
              <w:rPr>
                <w:rFonts w:ascii="Cambria" w:hAnsi="Cambria"/>
                <w:sz w:val="24"/>
                <w:szCs w:val="24"/>
              </w:rPr>
              <w:t xml:space="preserve">valor de capital </w:t>
            </w:r>
            <w:r>
              <w:rPr>
                <w:rFonts w:ascii="Cambria" w:hAnsi="Cambria"/>
                <w:sz w:val="24"/>
                <w:szCs w:val="24"/>
              </w:rPr>
              <w:t>para compra de mais condicionado</w:t>
            </w:r>
            <w:r>
              <w:rPr>
                <w:rFonts w:ascii="Cambria" w:hAnsi="Cambria"/>
                <w:sz w:val="24"/>
                <w:szCs w:val="24"/>
              </w:rPr>
              <w:t>res de ar</w:t>
            </w:r>
            <w:r>
              <w:rPr>
                <w:rFonts w:ascii="Cambria" w:hAnsi="Cambria"/>
                <w:sz w:val="24"/>
                <w:szCs w:val="24"/>
              </w:rPr>
              <w:t xml:space="preserve"> no campus. </w:t>
            </w:r>
            <w:r>
              <w:rPr>
                <w:rFonts w:ascii="Cambria" w:hAnsi="Cambria"/>
                <w:sz w:val="24"/>
                <w:szCs w:val="24"/>
              </w:rPr>
              <w:t>Com o valor de custeio, foram comprados equipamentos e materiais permanentes como máquinas de solda, aventais, equipamentos de segurança, óculos de proteção e protetor solar.</w:t>
            </w:r>
          </w:p>
        </w:tc>
      </w:tr>
      <w:tr>
        <w:trPr>
          <w:trHeight w:val="557" w:hRule="atLeast"/>
          <w:cantSplit w:val="false"/>
        </w:trPr>
        <w:tc>
          <w:tcPr>
            <w:tcW w:w="3364"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cs="" w:ascii="Cambria" w:hAnsi="Cambria"/>
                <w:b/>
                <w:bCs/>
                <w:sz w:val="24"/>
                <w:szCs w:val="24"/>
              </w:rPr>
            </w:pPr>
            <w:r>
              <w:rPr>
                <w:rFonts w:cs="" w:ascii="Cambria" w:hAnsi="Cambria"/>
                <w:b/>
                <w:bCs/>
                <w:sz w:val="24"/>
                <w:szCs w:val="24"/>
              </w:rPr>
              <w:t>Total de Investimentos</w:t>
            </w:r>
          </w:p>
        </w:tc>
        <w:tc>
          <w:tcPr>
            <w:tcW w:w="2267"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2833"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839"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c>
          <w:tcPr>
            <w:tcW w:w="1547" w:type="dxa"/>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t>R$ 18.000,00 valor de custeio + R$ 55.000,00 valor de capital = R$ 73.000,00</w:t>
            </w:r>
          </w:p>
        </w:tc>
        <w:tc>
          <w:tcPr>
            <w:tcW w:w="2158" w:type="dxa"/>
            <w:gridSpan w:val="2"/>
            <w:tcBorders>
              <w:top w:val="single" w:sz="8" w:space="0" w:color="4BACC6"/>
              <w:left w:val="single" w:sz="8" w:space="0" w:color="4BACC6"/>
              <w:bottom w:val="single" w:sz="8" w:space="0" w:color="4BACC6"/>
              <w:insideH w:val="single" w:sz="8" w:space="0" w:color="4BACC6"/>
              <w:right w:val="single" w:sz="8" w:space="0" w:color="4BACC6"/>
              <w:insideV w:val="single" w:sz="8" w:space="0" w:color="4BACC6"/>
            </w:tcBorders>
            <w:shd w:fill="FFFFFF" w:val="clear"/>
            <w:tcMar>
              <w:left w:w="87" w:type="dxa"/>
            </w:tcMar>
          </w:tcPr>
          <w:p>
            <w:pPr>
              <w:pStyle w:val="Normal"/>
              <w:spacing w:before="0" w:after="0"/>
              <w:rPr>
                <w:rFonts w:ascii="Cambria" w:hAnsi="Cambria"/>
                <w:sz w:val="24"/>
                <w:szCs w:val="24"/>
              </w:rPr>
            </w:pPr>
            <w:r>
              <w:rPr>
                <w:rFonts w:ascii="Cambria" w:hAnsi="Cambria"/>
                <w:sz w:val="24"/>
                <w:szCs w:val="24"/>
              </w:rPr>
            </w:r>
          </w:p>
        </w:tc>
      </w:tr>
    </w:tbl>
    <w:p>
      <w:pPr>
        <w:pStyle w:val="Normal"/>
        <w:widowControl/>
        <w:suppressAutoHyphens w:val="true"/>
        <w:bidi w:val="0"/>
        <w:spacing w:lineRule="auto" w:line="276" w:before="0" w:after="200"/>
        <w:jc w:val="left"/>
        <w:rPr/>
      </w:pPr>
      <w:r>
        <w:rPr/>
      </w:r>
    </w:p>
    <w:sectPr>
      <w:type w:val="nextPage"/>
      <w:pgSz w:orient="landscape" w:w="16838" w:h="11906"/>
      <w:pgMar w:left="1417" w:right="1417" w:header="0" w:top="170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7f182a"/>
    <w:pPr>
      <w:widowControl/>
      <w:suppressAutoHyphens w:val="true"/>
      <w:bidi w:val="0"/>
      <w:spacing w:lineRule="auto" w:line="276" w:before="0" w:after="200"/>
      <w:jc w:val="left"/>
    </w:pPr>
    <w:rPr>
      <w:rFonts w:ascii="Calibri" w:hAnsi="Calibri" w:eastAsia="SimSun" w:cs="Calibri"/>
      <w:color w:val="00000A"/>
      <w:sz w:val="22"/>
      <w:szCs w:val="22"/>
      <w:lang w:val="pt-BR" w:eastAsia="en-US" w:bidi="ar-SA"/>
    </w:rPr>
  </w:style>
  <w:style w:type="character" w:styleId="DefaultParagraphFont" w:default="1">
    <w:name w:val="Default Paragraph Font"/>
    <w:uiPriority w:val="1"/>
    <w:semiHidden/>
    <w:unhideWhenUsed/>
    <w:rPr/>
  </w:style>
  <w:style w:type="character" w:styleId="TextodenotaderodapChar" w:customStyle="1">
    <w:name w:val="Texto de nota de rodapé Char"/>
    <w:uiPriority w:val="99"/>
    <w:semiHidden/>
    <w:link w:val="Textodenotaderodap"/>
    <w:rsid w:val="004a0030"/>
    <w:basedOn w:val="DefaultParagraphFont"/>
    <w:rPr>
      <w:sz w:val="20"/>
      <w:szCs w:val="20"/>
    </w:rPr>
  </w:style>
  <w:style w:type="character" w:styleId="Footnotereference">
    <w:name w:val="footnote reference"/>
    <w:uiPriority w:val="99"/>
    <w:semiHidden/>
    <w:unhideWhenUsed/>
    <w:rsid w:val="004a0030"/>
    <w:basedOn w:val="DefaultParagraphFont"/>
    <w:rPr>
      <w:vertAlign w:val="superscript"/>
    </w:rPr>
  </w:style>
  <w:style w:type="character" w:styleId="CabealhoChar" w:customStyle="1">
    <w:name w:val="Cabeçalho Char"/>
    <w:uiPriority w:val="99"/>
    <w:link w:val="Cabealho"/>
    <w:rsid w:val="00787082"/>
    <w:basedOn w:val="DefaultParagraphFont"/>
    <w:rPr/>
  </w:style>
  <w:style w:type="character" w:styleId="RodapChar" w:customStyle="1">
    <w:name w:val="Rodapé Char"/>
    <w:uiPriority w:val="99"/>
    <w:link w:val="Rodap"/>
    <w:rsid w:val="00787082"/>
    <w:basedOn w:val="DefaultParagraphFont"/>
    <w:rPr/>
  </w:style>
  <w:style w:type="character" w:styleId="ListLabel1">
    <w:name w:val="ListLabel 1"/>
    <w:rPr>
      <w:rFonts w:cs="Calibri"/>
    </w:rPr>
  </w:style>
  <w:style w:type="character" w:styleId="ListLabel2">
    <w:name w:val="ListLabel 2"/>
    <w:rPr>
      <w:rFonts w:cs="Courier New"/>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NormalWeb">
    <w:name w:val="Normal (Web)"/>
    <w:uiPriority w:val="99"/>
    <w:unhideWhenUsed/>
    <w:rsid w:val="004a0030"/>
    <w:basedOn w:val="Normal"/>
    <w:pPr>
      <w:spacing w:before="0" w:after="280"/>
    </w:pPr>
    <w:rPr>
      <w:rFonts w:ascii="Times New Roman" w:hAnsi="Times New Roman" w:eastAsia="Times New Roman" w:cs="Times New Roman"/>
      <w:sz w:val="24"/>
      <w:szCs w:val="24"/>
      <w:lang w:eastAsia="pt-BR"/>
    </w:rPr>
  </w:style>
  <w:style w:type="paragraph" w:styleId="Footnotetext">
    <w:name w:val="footnote text"/>
    <w:uiPriority w:val="99"/>
    <w:semiHidden/>
    <w:unhideWhenUsed/>
    <w:link w:val="TextodenotaderodapChar"/>
    <w:rsid w:val="004a0030"/>
    <w:basedOn w:val="Normal"/>
    <w:pPr>
      <w:spacing w:lineRule="auto" w:line="240" w:before="0" w:after="0"/>
    </w:pPr>
    <w:rPr>
      <w:sz w:val="20"/>
      <w:szCs w:val="20"/>
    </w:rPr>
  </w:style>
  <w:style w:type="paragraph" w:styleId="ListParagraph">
    <w:name w:val="List Paragraph"/>
    <w:uiPriority w:val="34"/>
    <w:qFormat/>
    <w:rsid w:val="004a0030"/>
    <w:basedOn w:val="Normal"/>
    <w:pPr>
      <w:spacing w:before="0" w:after="200"/>
      <w:ind w:left="720" w:right="0" w:hanging="0"/>
      <w:contextualSpacing/>
    </w:pPr>
    <w:rPr/>
  </w:style>
  <w:style w:type="paragraph" w:styleId="Cabealho">
    <w:name w:val="Cabeçalho"/>
    <w:uiPriority w:val="99"/>
    <w:unhideWhenUsed/>
    <w:link w:val="CabealhoChar"/>
    <w:rsid w:val="00787082"/>
    <w:basedOn w:val="Normal"/>
    <w:pPr>
      <w:tabs>
        <w:tab w:val="center" w:pos="4252" w:leader="none"/>
        <w:tab w:val="right" w:pos="8504" w:leader="none"/>
      </w:tabs>
      <w:spacing w:lineRule="auto" w:line="240" w:before="0" w:after="0"/>
    </w:pPr>
    <w:rPr/>
  </w:style>
  <w:style w:type="paragraph" w:styleId="Rodap">
    <w:name w:val="Rodapé"/>
    <w:uiPriority w:val="99"/>
    <w:unhideWhenUsed/>
    <w:link w:val="RodapChar"/>
    <w:rsid w:val="00787082"/>
    <w:basedOn w:val="Normal"/>
    <w:pPr>
      <w:tabs>
        <w:tab w:val="center" w:pos="4252" w:leader="none"/>
        <w:tab w:val="right" w:pos="8504" w:leader="none"/>
      </w:tabs>
      <w:spacing w:lineRule="auto" w:line="240" w:before="0" w:after="0"/>
    </w:pPr>
    <w:rPr/>
  </w:style>
  <w:style w:type="numbering" w:styleId="NoList" w:default="1">
    <w:name w:val="No List"/>
    <w:uiPriority w:val="99"/>
    <w:semiHidden/>
    <w:unhideWhenUsed/>
  </w:style>
  <w:style w:type="table" w:default="1" w:styleId="Tabelanormal">
    <w:name w:val="Normal Table"/>
    <w:uiPriority w:val="99"/>
    <w:qFormat/>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59"/>
    <w:rsid w:val="004a0030"/>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styleId="ListaClara-nfase5">
    <w:name w:val="Light List Accent 5"/>
    <w:basedOn w:val="Tabelanormal"/>
    <w:uiPriority w:val="61"/>
    <w:rsid w:val="004a0030"/>
    <w:pPr>
      <w:spacing w:line="240" w:lineRule="auto" w:after="0"/>
    </w:pPr>
    <w:tblPr>
      <w:tblStyleRowBandSize w:val="1"/>
      <w:tblStyleColBandSize w:val="1"/>
      <w:tblInd w:type="dxa" w:w="0"/>
      <w:tblBorders>
        <w:top w:space="0" w:sz="8" w:themeColor="accent5" w:color="4BACC6" w:val="single"/>
        <w:left w:space="0" w:sz="8" w:themeColor="accent5" w:color="4BACC6" w:val="single"/>
        <w:bottom w:space="0" w:sz="8" w:themeColor="accent5" w:color="4BACC6" w:val="single"/>
        <w:right w:space="0" w:sz="8" w:themeColor="accent5" w:color="4BACC6" w:val="single"/>
      </w:tblBorders>
      <w:tblCellMar>
        <w:top w:w="0" w:type="dxa"/>
        <w:left w:w="108" w:type="dxa"/>
        <w:bottom w:w="0" w:type="dxa"/>
        <w:right w:w="108" w:type="dxa"/>
      </w:tblCellMar>
    </w:tblPr>
    <w:tblStylePr w:type="firstRow">
      <w:pPr>
        <w:spacing w:line="240" w:lineRule="auto" w:after="0" w:before="0"/>
      </w:pPr>
      <w:rPr>
        <w:b/>
        <w:bCs/>
        <w:color w:themeColor="background1" w:val="FFFFFF"/>
      </w:rPr>
      <w:tblPr/>
      <w:tcPr>
        <w:shd w:themeFill="accent5" w:fill="4BACC6" w:color="auto" w:val="clear"/>
      </w:tcPr>
    </w:tblStylePr>
    <w:tblStylePr w:type="lastRow">
      <w:pPr>
        <w:spacing w:line="240" w:lineRule="auto" w:after="0" w:before="0"/>
      </w:pPr>
      <w:rPr>
        <w:b/>
        <w:bCs/>
      </w:rPr>
      <w:tblPr/>
      <w:tcPr>
        <w:tcBorders>
          <w:top w:space="0" w:sz="6" w:themeColor="accent5" w:color="4BACC6" w:val="double"/>
          <w:left w:space="0" w:sz="8" w:themeColor="accent5" w:color="4BACC6" w:val="single"/>
          <w:bottom w:space="0" w:sz="8" w:themeColor="accent5" w:color="4BACC6" w:val="single"/>
          <w:right w:space="0" w:sz="8" w:themeColor="accent5" w:color="4BACC6" w:val="single"/>
        </w:tcBorders>
      </w:tcPr>
    </w:tblStylePr>
    <w:tblStylePr w:type="firstCol">
      <w:rPr>
        <w:b/>
        <w:bCs/>
      </w:rPr>
      <w:tblPr/>
    </w:tblStylePr>
    <w:tblStylePr w:type="lastCol">
      <w:rPr>
        <w:b/>
        <w:bCs/>
      </w:rPr>
      <w:tblPr/>
    </w:tblStylePr>
    <w:tblStylePr w:type="band1Vert">
      <w:tblPr/>
      <w:tcPr>
        <w:tcBorders>
          <w:top w:space="0" w:sz="8" w:themeColor="accent5" w:color="4BACC6" w:val="single"/>
          <w:left w:space="0" w:sz="8" w:themeColor="accent5" w:color="4BACC6" w:val="single"/>
          <w:bottom w:space="0" w:sz="8" w:themeColor="accent5" w:color="4BACC6" w:val="single"/>
          <w:right w:space="0" w:sz="8" w:themeColor="accent5" w:color="4BACC6" w:val="single"/>
        </w:tcBorders>
      </w:tcPr>
    </w:tblStylePr>
    <w:tblStylePr w:type="band1Horz">
      <w:tblPr/>
      <w:tcPr>
        <w:tcBorders>
          <w:top w:space="0" w:sz="8" w:themeColor="accent5" w:color="4BACC6" w:val="single"/>
          <w:left w:space="0" w:sz="8" w:themeColor="accent5" w:color="4BACC6" w:val="single"/>
          <w:bottom w:space="0" w:sz="8" w:themeColor="accent5" w:color="4BACC6" w:val="single"/>
          <w:right w:space="0" w:sz="8" w:themeColor="accent5" w:color="4BACC6" w:val="single"/>
        </w:tcBorders>
      </w:tcPr>
    </w:tblStylePr>
  </w:style>
  <w:style w:type="table" w:styleId="ListaClara-nfase6">
    <w:name w:val="Light List Accent 6"/>
    <w:basedOn w:val="Tabelanormal"/>
    <w:uiPriority w:val="61"/>
    <w:rsid w:val="004a0030"/>
    <w:pPr>
      <w:spacing w:line="240" w:lineRule="auto" w:after="0"/>
    </w:pPr>
    <w:tblPr>
      <w:tblStyleRowBandSize w:val="1"/>
      <w:tblStyleColBandSize w:val="1"/>
      <w:tblInd w:type="dxa" w:w="0"/>
      <w:tblBorders>
        <w:top w:space="0" w:sz="8" w:themeColor="accent6" w:color="F79646" w:val="single"/>
        <w:left w:space="0" w:sz="8" w:themeColor="accent6" w:color="F79646" w:val="single"/>
        <w:bottom w:space="0" w:sz="8" w:themeColor="accent6" w:color="F79646" w:val="single"/>
        <w:right w:space="0" w:sz="8" w:themeColor="accent6" w:color="F79646" w:val="single"/>
      </w:tblBorders>
      <w:tblCellMar>
        <w:top w:w="0" w:type="dxa"/>
        <w:left w:w="108" w:type="dxa"/>
        <w:bottom w:w="0" w:type="dxa"/>
        <w:right w:w="108" w:type="dxa"/>
      </w:tblCellMar>
    </w:tblPr>
    <w:tblStylePr w:type="firstRow">
      <w:pPr>
        <w:spacing w:line="240" w:lineRule="auto" w:after="0" w:before="0"/>
      </w:pPr>
      <w:rPr>
        <w:b/>
        <w:bCs/>
        <w:color w:themeColor="background1" w:val="FFFFFF"/>
      </w:rPr>
      <w:tblPr/>
      <w:tcPr>
        <w:shd w:themeFill="accent6" w:fill="F79646" w:color="auto" w:val="clear"/>
      </w:tcPr>
    </w:tblStylePr>
    <w:tblStylePr w:type="lastRow">
      <w:pPr>
        <w:spacing w:line="240" w:lineRule="auto" w:after="0" w:before="0"/>
      </w:pPr>
      <w:rPr>
        <w:b/>
        <w:bCs/>
      </w:rPr>
      <w:tblPr/>
      <w:tcPr>
        <w:tcBorders>
          <w:top w:space="0" w:sz="6" w:themeColor="accent6" w:color="F79646" w:val="double"/>
          <w:left w:space="0" w:sz="8" w:themeColor="accent6" w:color="F79646" w:val="single"/>
          <w:bottom w:space="0" w:sz="8" w:themeColor="accent6" w:color="F79646" w:val="single"/>
          <w:right w:space="0" w:sz="8" w:themeColor="accent6" w:color="F79646" w:val="single"/>
        </w:tcBorders>
      </w:tcPr>
    </w:tblStylePr>
    <w:tblStylePr w:type="firstCol">
      <w:rPr>
        <w:b/>
        <w:bCs/>
      </w:rPr>
      <w:tblPr/>
    </w:tblStylePr>
    <w:tblStylePr w:type="lastCol">
      <w:rPr>
        <w:b/>
        <w:bCs/>
      </w:rPr>
      <w:tblPr/>
    </w:tblStylePr>
    <w:tblStylePr w:type="band1Vert">
      <w:tblPr/>
      <w:tcPr>
        <w:tcBorders>
          <w:top w:space="0" w:sz="8" w:themeColor="accent6" w:color="F79646" w:val="single"/>
          <w:left w:space="0" w:sz="8" w:themeColor="accent6" w:color="F79646" w:val="single"/>
          <w:bottom w:space="0" w:sz="8" w:themeColor="accent6" w:color="F79646" w:val="single"/>
          <w:right w:space="0" w:sz="8" w:themeColor="accent6" w:color="F79646" w:val="single"/>
        </w:tcBorders>
      </w:tcPr>
    </w:tblStylePr>
    <w:tblStylePr w:type="band1Horz">
      <w:tblPr/>
      <w:tcPr>
        <w:tcBorders>
          <w:top w:space="0" w:sz="8" w:themeColor="accent6" w:color="F79646" w:val="single"/>
          <w:left w:space="0" w:sz="8" w:themeColor="accent6" w:color="F79646" w:val="single"/>
          <w:bottom w:space="0" w:sz="8" w:themeColor="accent6" w:color="F79646" w:val="single"/>
          <w:right w:space="0" w:sz="8" w:themeColor="accent6" w:color="F79646" w:val="single"/>
        </w:tcBorders>
      </w:tcPr>
    </w:tblStylePr>
  </w:style>
  <w:style w:type="table" w:styleId="GradeClara-nfase1">
    <w:name w:val="Light Grid Accent 1"/>
    <w:basedOn w:val="Tabelanormal"/>
    <w:uiPriority w:val="62"/>
    <w:rsid w:val="004a0030"/>
    <w:pPr>
      <w:spacing w:line="240" w:lineRule="auto" w:after="0"/>
    </w:pPr>
    <w:tblPr>
      <w:tblStyleRowBandSize w:val="1"/>
      <w:tblStyleColBandSize w:val="1"/>
      <w:tblInd w:type="dxa" w:w="0"/>
      <w:tblBorders>
        <w:top w:space="0" w:sz="8" w:themeColor="accent1" w:color="4F81BD" w:val="single"/>
        <w:left w:space="0" w:sz="8" w:themeColor="accent1" w:color="4F81BD" w:val="single"/>
        <w:bottom w:space="0" w:sz="8" w:themeColor="accent1" w:color="4F81BD" w:val="single"/>
        <w:right w:space="0" w:sz="8" w:themeColor="accent1" w:color="4F81BD" w:val="single"/>
        <w:insideH w:space="0" w:sz="8" w:themeColor="accent1" w:color="4F81BD" w:val="single"/>
        <w:insideV w:space="0" w:sz="8" w:themeColor="accent1" w:color="4F81BD" w:val="single"/>
      </w:tblBorders>
      <w:tblCellMar>
        <w:top w:w="0" w:type="dxa"/>
        <w:left w:w="108" w:type="dxa"/>
        <w:bottom w:w="0" w:type="dxa"/>
        <w:right w:w="108" w:type="dxa"/>
      </w:tblCellMar>
    </w:tblPr>
    <w:tblStylePr w:type="firstRow">
      <w:pPr>
        <w:spacing w:line="240" w:lineRule="auto" w:after="0" w:before="0"/>
      </w:pPr>
      <w:rPr>
        <w:rFonts w:cstheme="majorBidi" w:eastAsiaTheme="majorEastAsia" w:hAnsiTheme="majorHAnsi" w:asciiTheme="majorHAnsi"/>
        <w:b/>
        <w:bCs/>
      </w:rPr>
      <w:tblPr/>
      <w:tcPr>
        <w:tcBorders>
          <w:top w:space="0" w:sz="8" w:themeColor="accent1" w:color="4F81BD" w:val="single"/>
          <w:left w:space="0" w:sz="8" w:themeColor="accent1" w:color="4F81BD" w:val="single"/>
          <w:bottom w:space="0" w:sz="18" w:themeColor="accent1" w:color="4F81BD" w:val="single"/>
          <w:right w:space="0" w:sz="8" w:themeColor="accent1" w:color="4F81BD" w:val="single"/>
          <w:insideH w:val="nil"/>
          <w:insideV w:space="0" w:sz="8" w:themeColor="accent1" w:color="4F81BD" w:val="single"/>
        </w:tcBorders>
      </w:tcPr>
    </w:tblStylePr>
    <w:tblStylePr w:type="lastRow">
      <w:pPr>
        <w:spacing w:line="240" w:lineRule="auto" w:after="0" w:before="0"/>
      </w:pPr>
      <w:rPr>
        <w:rFonts w:cstheme="majorBidi" w:eastAsiaTheme="majorEastAsia" w:hAnsiTheme="majorHAnsi" w:asciiTheme="majorHAnsi"/>
        <w:b/>
        <w:bCs/>
      </w:rPr>
      <w:tblPr/>
      <w:tcPr>
        <w:tcBorders>
          <w:top w:space="0" w:sz="6" w:themeColor="accent1" w:color="4F81BD" w:val="double"/>
          <w:left w:space="0" w:sz="8" w:themeColor="accent1" w:color="4F81BD" w:val="single"/>
          <w:bottom w:space="0" w:sz="8" w:themeColor="accent1" w:color="4F81BD" w:val="single"/>
          <w:right w:space="0" w:sz="8" w:themeColor="accent1" w:color="4F81BD" w:val="single"/>
          <w:insideH w:val="nil"/>
          <w:insideV w:space="0" w:sz="8" w:themeColor="accent1" w:color="4F81BD" w:val="single"/>
        </w:tcBorders>
      </w:tcPr>
    </w:tblStylePr>
    <w:tblStylePr w:type="firstCol">
      <w:rPr>
        <w:rFonts w:cstheme="majorBidi" w:eastAsiaTheme="majorEastAsia" w:hAnsiTheme="majorHAnsi" w:asciiTheme="majorHAnsi"/>
        <w:b/>
        <w:bCs/>
      </w:rPr>
      <w:tblPr/>
    </w:tblStylePr>
    <w:tblStylePr w:type="lastCol">
      <w:rPr>
        <w:rFonts w:cstheme="majorBidi" w:eastAsiaTheme="majorEastAsia" w:hAnsiTheme="majorHAnsi" w:asciiTheme="majorHAnsi"/>
        <w:b/>
        <w:bCs/>
      </w:rPr>
      <w:tblPr/>
      <w:tcPr>
        <w:tcBorders>
          <w:top w:space="0" w:sz="8" w:themeColor="accent1" w:color="4F81BD" w:val="single"/>
          <w:left w:space="0" w:sz="8" w:themeColor="accent1" w:color="4F81BD" w:val="single"/>
          <w:bottom w:space="0" w:sz="8" w:themeColor="accent1" w:color="4F81BD" w:val="single"/>
          <w:right w:space="0" w:sz="8" w:themeColor="accent1" w:color="4F81BD" w:val="single"/>
        </w:tcBorders>
      </w:tcPr>
    </w:tblStylePr>
    <w:tblStylePr w:type="band1Vert">
      <w:tblPr/>
      <w:tcPr>
        <w:tcBorders>
          <w:top w:space="0" w:sz="8" w:themeColor="accent1" w:color="4F81BD" w:val="single"/>
          <w:left w:space="0" w:sz="8" w:themeColor="accent1" w:color="4F81BD" w:val="single"/>
          <w:bottom w:space="0" w:sz="8" w:themeColor="accent1" w:color="4F81BD" w:val="single"/>
          <w:right w:space="0" w:sz="8" w:themeColor="accent1" w:color="4F81BD" w:val="single"/>
        </w:tcBorders>
        <w:shd w:themeFillTint="3f" w:themeFill="accent1" w:fill="D3DFEE" w:color="auto" w:val="clear"/>
      </w:tcPr>
    </w:tblStylePr>
    <w:tblStylePr w:type="band1Horz">
      <w:tblPr/>
      <w:tcPr>
        <w:tcBorders>
          <w:top w:space="0" w:sz="8" w:themeColor="accent1" w:color="4F81BD" w:val="single"/>
          <w:left w:space="0" w:sz="8" w:themeColor="accent1" w:color="4F81BD" w:val="single"/>
          <w:bottom w:space="0" w:sz="8" w:themeColor="accent1" w:color="4F81BD" w:val="single"/>
          <w:right w:space="0" w:sz="8" w:themeColor="accent1" w:color="4F81BD" w:val="single"/>
          <w:insideV w:space="0" w:sz="8" w:themeColor="accent1" w:color="4F81BD" w:val="single"/>
        </w:tcBorders>
        <w:shd w:themeFillTint="3f" w:themeFill="accent1" w:fill="D3DFEE" w:color="auto" w:val="clear"/>
      </w:tcPr>
    </w:tblStylePr>
    <w:tblStylePr w:type="band2Horz">
      <w:tblPr/>
      <w:tcPr>
        <w:tcBorders>
          <w:top w:space="0" w:sz="8" w:themeColor="accent1" w:color="4F81BD" w:val="single"/>
          <w:left w:space="0" w:sz="8" w:themeColor="accent1" w:color="4F81BD" w:val="single"/>
          <w:bottom w:space="0" w:sz="8" w:themeColor="accent1" w:color="4F81BD" w:val="single"/>
          <w:right w:space="0" w:sz="8" w:themeColor="accent1" w:color="4F81BD" w:val="single"/>
          <w:insideV w:space="0" w:sz="8" w:themeColor="accent1" w:color="4F81BD" w:val="single"/>
        </w:tcBorders>
      </w:tcPr>
    </w:tblStylePr>
  </w:style>
  <w:style w:type="table" w:styleId="GradeClara-nfase2">
    <w:name w:val="Light Grid Accent 2"/>
    <w:basedOn w:val="Tabelanormal"/>
    <w:uiPriority w:val="62"/>
    <w:rsid w:val="004a0030"/>
    <w:pPr>
      <w:spacing w:line="240" w:lineRule="auto" w:after="0"/>
    </w:pPr>
    <w:tblPr>
      <w:tblStyleRowBandSize w:val="1"/>
      <w:tblStyleColBandSize w:val="1"/>
      <w:tblInd w:type="dxa" w:w="0"/>
      <w:tblBorders>
        <w:top w:space="0" w:sz="8" w:themeColor="accent2" w:color="C0504D" w:val="single"/>
        <w:left w:space="0" w:sz="8" w:themeColor="accent2" w:color="C0504D" w:val="single"/>
        <w:bottom w:space="0" w:sz="8" w:themeColor="accent2" w:color="C0504D" w:val="single"/>
        <w:right w:space="0" w:sz="8" w:themeColor="accent2" w:color="C0504D" w:val="single"/>
        <w:insideH w:space="0" w:sz="8" w:themeColor="accent2" w:color="C0504D" w:val="single"/>
        <w:insideV w:space="0" w:sz="8" w:themeColor="accent2" w:color="C0504D" w:val="single"/>
      </w:tblBorders>
      <w:tblCellMar>
        <w:top w:w="0" w:type="dxa"/>
        <w:left w:w="108" w:type="dxa"/>
        <w:bottom w:w="0" w:type="dxa"/>
        <w:right w:w="108" w:type="dxa"/>
      </w:tblCellMar>
    </w:tblPr>
    <w:tblStylePr w:type="firstRow">
      <w:pPr>
        <w:spacing w:line="240" w:lineRule="auto" w:after="0" w:before="0"/>
      </w:pPr>
      <w:rPr>
        <w:rFonts w:cstheme="majorBidi" w:eastAsiaTheme="majorEastAsia" w:hAnsiTheme="majorHAnsi" w:asciiTheme="majorHAnsi"/>
        <w:b/>
        <w:bCs/>
      </w:rPr>
      <w:tblPr/>
      <w:tcPr>
        <w:tcBorders>
          <w:top w:space="0" w:sz="8" w:themeColor="accent2" w:color="C0504D" w:val="single"/>
          <w:left w:space="0" w:sz="8" w:themeColor="accent2" w:color="C0504D" w:val="single"/>
          <w:bottom w:space="0" w:sz="18" w:themeColor="accent2" w:color="C0504D" w:val="single"/>
          <w:right w:space="0" w:sz="8" w:themeColor="accent2" w:color="C0504D" w:val="single"/>
          <w:insideH w:val="nil"/>
          <w:insideV w:space="0" w:sz="8" w:themeColor="accent2" w:color="C0504D" w:val="single"/>
        </w:tcBorders>
      </w:tcPr>
    </w:tblStylePr>
    <w:tblStylePr w:type="lastRow">
      <w:pPr>
        <w:spacing w:line="240" w:lineRule="auto" w:after="0" w:before="0"/>
      </w:pPr>
      <w:rPr>
        <w:rFonts w:cstheme="majorBidi" w:eastAsiaTheme="majorEastAsia" w:hAnsiTheme="majorHAnsi" w:asciiTheme="majorHAnsi"/>
        <w:b/>
        <w:bCs/>
      </w:rPr>
      <w:tblPr/>
      <w:tcPr>
        <w:tcBorders>
          <w:top w:space="0" w:sz="6" w:themeColor="accent2" w:color="C0504D" w:val="double"/>
          <w:left w:space="0" w:sz="8" w:themeColor="accent2" w:color="C0504D" w:val="single"/>
          <w:bottom w:space="0" w:sz="8" w:themeColor="accent2" w:color="C0504D" w:val="single"/>
          <w:right w:space="0" w:sz="8" w:themeColor="accent2" w:color="C0504D" w:val="single"/>
          <w:insideH w:val="nil"/>
          <w:insideV w:space="0" w:sz="8" w:themeColor="accent2" w:color="C0504D" w:val="single"/>
        </w:tcBorders>
      </w:tcPr>
    </w:tblStylePr>
    <w:tblStylePr w:type="firstCol">
      <w:rPr>
        <w:rFonts w:cstheme="majorBidi" w:eastAsiaTheme="majorEastAsia" w:hAnsiTheme="majorHAnsi" w:asciiTheme="majorHAnsi"/>
        <w:b/>
        <w:bCs/>
      </w:rPr>
      <w:tblPr/>
    </w:tblStylePr>
    <w:tblStylePr w:type="lastCol">
      <w:rPr>
        <w:rFonts w:cstheme="majorBidi" w:eastAsiaTheme="majorEastAsia" w:hAnsiTheme="majorHAnsi" w:asciiTheme="majorHAnsi"/>
        <w:b/>
        <w:bCs/>
      </w:rPr>
      <w:tblPr/>
      <w:tcPr>
        <w:tcBorders>
          <w:top w:space="0" w:sz="8" w:themeColor="accent2" w:color="C0504D" w:val="single"/>
          <w:left w:space="0" w:sz="8" w:themeColor="accent2" w:color="C0504D" w:val="single"/>
          <w:bottom w:space="0" w:sz="8" w:themeColor="accent2" w:color="C0504D" w:val="single"/>
          <w:right w:space="0" w:sz="8" w:themeColor="accent2" w:color="C0504D" w:val="single"/>
        </w:tcBorders>
      </w:tcPr>
    </w:tblStylePr>
    <w:tblStylePr w:type="band1Vert">
      <w:tblPr/>
      <w:tcPr>
        <w:tcBorders>
          <w:top w:space="0" w:sz="8" w:themeColor="accent2" w:color="C0504D" w:val="single"/>
          <w:left w:space="0" w:sz="8" w:themeColor="accent2" w:color="C0504D" w:val="single"/>
          <w:bottom w:space="0" w:sz="8" w:themeColor="accent2" w:color="C0504D" w:val="single"/>
          <w:right w:space="0" w:sz="8" w:themeColor="accent2" w:color="C0504D" w:val="single"/>
        </w:tcBorders>
        <w:shd w:themeFillTint="3f" w:themeFill="accent2" w:fill="EFD3D2" w:color="auto" w:val="clear"/>
      </w:tcPr>
    </w:tblStylePr>
    <w:tblStylePr w:type="band1Horz">
      <w:tblPr/>
      <w:tcPr>
        <w:tcBorders>
          <w:top w:space="0" w:sz="8" w:themeColor="accent2" w:color="C0504D" w:val="single"/>
          <w:left w:space="0" w:sz="8" w:themeColor="accent2" w:color="C0504D" w:val="single"/>
          <w:bottom w:space="0" w:sz="8" w:themeColor="accent2" w:color="C0504D" w:val="single"/>
          <w:right w:space="0" w:sz="8" w:themeColor="accent2" w:color="C0504D" w:val="single"/>
          <w:insideV w:space="0" w:sz="8" w:themeColor="accent2" w:color="C0504D" w:val="single"/>
        </w:tcBorders>
        <w:shd w:themeFillTint="3f" w:themeFill="accent2" w:fill="EFD3D2" w:color="auto" w:val="clear"/>
      </w:tcPr>
    </w:tblStylePr>
    <w:tblStylePr w:type="band2Horz">
      <w:tblPr/>
      <w:tcPr>
        <w:tcBorders>
          <w:top w:space="0" w:sz="8" w:themeColor="accent2" w:color="C0504D" w:val="single"/>
          <w:left w:space="0" w:sz="8" w:themeColor="accent2" w:color="C0504D" w:val="single"/>
          <w:bottom w:space="0" w:sz="8" w:themeColor="accent2" w:color="C0504D" w:val="single"/>
          <w:right w:space="0" w:sz="8" w:themeColor="accent2" w:color="C0504D" w:val="single"/>
          <w:insideV w:space="0" w:sz="8" w:themeColor="accent2" w:color="C0504D" w:val="single"/>
        </w:tcBorders>
      </w:tcPr>
    </w:tblStylePr>
  </w:style>
  <w:style w:type="table" w:styleId="GradeClara-nfase3">
    <w:name w:val="Light Grid Accent 3"/>
    <w:basedOn w:val="Tabelanormal"/>
    <w:uiPriority w:val="62"/>
    <w:rsid w:val="00cd00c4"/>
    <w:pPr>
      <w:spacing w:line="240" w:lineRule="auto" w:after="0"/>
    </w:pPr>
    <w:tblPr>
      <w:tblStyleRowBandSize w:val="1"/>
      <w:tblStyleColBandSize w:val="1"/>
      <w:tblInd w:type="dxa" w:w="0"/>
      <w:tblBorders>
        <w:top w:space="0" w:sz="8" w:themeColor="accent3" w:color="9BBB59" w:val="single"/>
        <w:left w:space="0" w:sz="8" w:themeColor="accent3" w:color="9BBB59" w:val="single"/>
        <w:bottom w:space="0" w:sz="8" w:themeColor="accent3" w:color="9BBB59" w:val="single"/>
        <w:right w:space="0" w:sz="8" w:themeColor="accent3" w:color="9BBB59" w:val="single"/>
        <w:insideH w:space="0" w:sz="8" w:themeColor="accent3" w:color="9BBB59" w:val="single"/>
        <w:insideV w:space="0" w:sz="8" w:themeColor="accent3" w:color="9BBB59" w:val="single"/>
      </w:tblBorders>
      <w:tblCellMar>
        <w:top w:w="0" w:type="dxa"/>
        <w:left w:w="108" w:type="dxa"/>
        <w:bottom w:w="0" w:type="dxa"/>
        <w:right w:w="108" w:type="dxa"/>
      </w:tblCellMar>
    </w:tblPr>
    <w:tblStylePr w:type="firstRow">
      <w:pPr>
        <w:spacing w:line="240" w:lineRule="auto" w:after="0" w:before="0"/>
      </w:pPr>
      <w:rPr>
        <w:rFonts w:cstheme="majorBidi" w:eastAsiaTheme="majorEastAsia" w:hAnsiTheme="majorHAnsi" w:asciiTheme="majorHAnsi"/>
        <w:b/>
        <w:bCs/>
      </w:rPr>
      <w:tblPr/>
      <w:tcPr>
        <w:tcBorders>
          <w:top w:space="0" w:sz="8" w:themeColor="accent3" w:color="9BBB59" w:val="single"/>
          <w:left w:space="0" w:sz="8" w:themeColor="accent3" w:color="9BBB59" w:val="single"/>
          <w:bottom w:space="0" w:sz="18" w:themeColor="accent3" w:color="9BBB59" w:val="single"/>
          <w:right w:space="0" w:sz="8" w:themeColor="accent3" w:color="9BBB59" w:val="single"/>
          <w:insideH w:val="nil"/>
          <w:insideV w:space="0" w:sz="8" w:themeColor="accent3" w:color="9BBB59" w:val="single"/>
        </w:tcBorders>
      </w:tcPr>
    </w:tblStylePr>
    <w:tblStylePr w:type="lastRow">
      <w:pPr>
        <w:spacing w:line="240" w:lineRule="auto" w:after="0" w:before="0"/>
      </w:pPr>
      <w:rPr>
        <w:rFonts w:cstheme="majorBidi" w:eastAsiaTheme="majorEastAsia" w:hAnsiTheme="majorHAnsi" w:asciiTheme="majorHAnsi"/>
        <w:b/>
        <w:bCs/>
      </w:rPr>
      <w:tblPr/>
      <w:tcPr>
        <w:tcBorders>
          <w:top w:space="0" w:sz="6" w:themeColor="accent3" w:color="9BBB59" w:val="double"/>
          <w:left w:space="0" w:sz="8" w:themeColor="accent3" w:color="9BBB59" w:val="single"/>
          <w:bottom w:space="0" w:sz="8" w:themeColor="accent3" w:color="9BBB59" w:val="single"/>
          <w:right w:space="0" w:sz="8" w:themeColor="accent3" w:color="9BBB59" w:val="single"/>
          <w:insideH w:val="nil"/>
          <w:insideV w:space="0" w:sz="8" w:themeColor="accent3" w:color="9BBB59" w:val="single"/>
        </w:tcBorders>
      </w:tcPr>
    </w:tblStylePr>
    <w:tblStylePr w:type="firstCol">
      <w:rPr>
        <w:rFonts w:cstheme="majorBidi" w:eastAsiaTheme="majorEastAsia" w:hAnsiTheme="majorHAnsi" w:asciiTheme="majorHAnsi"/>
        <w:b/>
        <w:bCs/>
      </w:rPr>
      <w:tblPr/>
    </w:tblStylePr>
    <w:tblStylePr w:type="lastCol">
      <w:rPr>
        <w:rFonts w:cstheme="majorBidi" w:eastAsiaTheme="majorEastAsia" w:hAnsiTheme="majorHAnsi" w:asciiTheme="majorHAnsi"/>
        <w:b/>
        <w:bCs/>
      </w:rPr>
      <w:tblPr/>
      <w:tcPr>
        <w:tcBorders>
          <w:top w:space="0" w:sz="8" w:themeColor="accent3" w:color="9BBB59" w:val="single"/>
          <w:left w:space="0" w:sz="8" w:themeColor="accent3" w:color="9BBB59" w:val="single"/>
          <w:bottom w:space="0" w:sz="8" w:themeColor="accent3" w:color="9BBB59" w:val="single"/>
          <w:right w:space="0" w:sz="8" w:themeColor="accent3" w:color="9BBB59" w:val="single"/>
        </w:tcBorders>
      </w:tcPr>
    </w:tblStylePr>
    <w:tblStylePr w:type="band1Vert">
      <w:tblPr/>
      <w:tcPr>
        <w:tcBorders>
          <w:top w:space="0" w:sz="8" w:themeColor="accent3" w:color="9BBB59" w:val="single"/>
          <w:left w:space="0" w:sz="8" w:themeColor="accent3" w:color="9BBB59" w:val="single"/>
          <w:bottom w:space="0" w:sz="8" w:themeColor="accent3" w:color="9BBB59" w:val="single"/>
          <w:right w:space="0" w:sz="8" w:themeColor="accent3" w:color="9BBB59" w:val="single"/>
        </w:tcBorders>
        <w:shd w:themeFillTint="3f" w:themeFill="accent3" w:fill="E6EED5" w:color="auto" w:val="clear"/>
      </w:tcPr>
    </w:tblStylePr>
    <w:tblStylePr w:type="band1Horz">
      <w:tblPr/>
      <w:tcPr>
        <w:tcBorders>
          <w:top w:space="0" w:sz="8" w:themeColor="accent3" w:color="9BBB59" w:val="single"/>
          <w:left w:space="0" w:sz="8" w:themeColor="accent3" w:color="9BBB59" w:val="single"/>
          <w:bottom w:space="0" w:sz="8" w:themeColor="accent3" w:color="9BBB59" w:val="single"/>
          <w:right w:space="0" w:sz="8" w:themeColor="accent3" w:color="9BBB59" w:val="single"/>
          <w:insideV w:space="0" w:sz="8" w:themeColor="accent3" w:color="9BBB59" w:val="single"/>
        </w:tcBorders>
        <w:shd w:themeFillTint="3f" w:themeFill="accent3" w:fill="E6EED5" w:color="auto" w:val="clear"/>
      </w:tcPr>
    </w:tblStylePr>
    <w:tblStylePr w:type="band2Horz">
      <w:tblPr/>
      <w:tcPr>
        <w:tcBorders>
          <w:top w:space="0" w:sz="8" w:themeColor="accent3" w:color="9BBB59" w:val="single"/>
          <w:left w:space="0" w:sz="8" w:themeColor="accent3" w:color="9BBB59" w:val="single"/>
          <w:bottom w:space="0" w:sz="8" w:themeColor="accent3" w:color="9BBB59" w:val="single"/>
          <w:right w:space="0" w:sz="8" w:themeColor="accent3" w:color="9BBB59" w:val="single"/>
          <w:insideV w:space="0" w:sz="8" w:themeColor="accent3" w:color="9BBB59" w:val="single"/>
        </w:tcBorders>
      </w:tcPr>
    </w:tblStylePr>
  </w:style>
  <w:style w:type="table" w:styleId="GradeClara-nfase4">
    <w:name w:val="Light Grid Accent 4"/>
    <w:basedOn w:val="Tabelanormal"/>
    <w:uiPriority w:val="62"/>
    <w:rsid w:val="00cd00c4"/>
    <w:pPr>
      <w:spacing w:line="240" w:lineRule="auto" w:after="0"/>
    </w:pPr>
    <w:tblPr>
      <w:tblStyleRowBandSize w:val="1"/>
      <w:tblStyleColBandSize w:val="1"/>
      <w:tblInd w:type="dxa" w:w="0"/>
      <w:tblBorders>
        <w:top w:space="0" w:sz="8" w:themeColor="accent4" w:color="8064A2" w:val="single"/>
        <w:left w:space="0" w:sz="8" w:themeColor="accent4" w:color="8064A2" w:val="single"/>
        <w:bottom w:space="0" w:sz="8" w:themeColor="accent4" w:color="8064A2" w:val="single"/>
        <w:right w:space="0" w:sz="8" w:themeColor="accent4" w:color="8064A2" w:val="single"/>
        <w:insideH w:space="0" w:sz="8" w:themeColor="accent4" w:color="8064A2" w:val="single"/>
        <w:insideV w:space="0" w:sz="8" w:themeColor="accent4" w:color="8064A2" w:val="single"/>
      </w:tblBorders>
      <w:tblCellMar>
        <w:top w:w="0" w:type="dxa"/>
        <w:left w:w="108" w:type="dxa"/>
        <w:bottom w:w="0" w:type="dxa"/>
        <w:right w:w="108" w:type="dxa"/>
      </w:tblCellMar>
    </w:tblPr>
    <w:tblStylePr w:type="firstRow">
      <w:pPr>
        <w:spacing w:line="240" w:lineRule="auto" w:after="0" w:before="0"/>
      </w:pPr>
      <w:rPr>
        <w:rFonts w:cstheme="majorBidi" w:eastAsiaTheme="majorEastAsia" w:hAnsiTheme="majorHAnsi" w:asciiTheme="majorHAnsi"/>
        <w:b/>
        <w:bCs/>
      </w:rPr>
      <w:tblPr/>
      <w:tcPr>
        <w:tcBorders>
          <w:top w:space="0" w:sz="8" w:themeColor="accent4" w:color="8064A2" w:val="single"/>
          <w:left w:space="0" w:sz="8" w:themeColor="accent4" w:color="8064A2" w:val="single"/>
          <w:bottom w:space="0" w:sz="18" w:themeColor="accent4" w:color="8064A2" w:val="single"/>
          <w:right w:space="0" w:sz="8" w:themeColor="accent4" w:color="8064A2" w:val="single"/>
          <w:insideH w:val="nil"/>
          <w:insideV w:space="0" w:sz="8" w:themeColor="accent4" w:color="8064A2" w:val="single"/>
        </w:tcBorders>
      </w:tcPr>
    </w:tblStylePr>
    <w:tblStylePr w:type="lastRow">
      <w:pPr>
        <w:spacing w:line="240" w:lineRule="auto" w:after="0" w:before="0"/>
      </w:pPr>
      <w:rPr>
        <w:rFonts w:cstheme="majorBidi" w:eastAsiaTheme="majorEastAsia" w:hAnsiTheme="majorHAnsi" w:asciiTheme="majorHAnsi"/>
        <w:b/>
        <w:bCs/>
      </w:rPr>
      <w:tblPr/>
      <w:tcPr>
        <w:tcBorders>
          <w:top w:space="0" w:sz="6" w:themeColor="accent4" w:color="8064A2" w:val="double"/>
          <w:left w:space="0" w:sz="8" w:themeColor="accent4" w:color="8064A2" w:val="single"/>
          <w:bottom w:space="0" w:sz="8" w:themeColor="accent4" w:color="8064A2" w:val="single"/>
          <w:right w:space="0" w:sz="8" w:themeColor="accent4" w:color="8064A2" w:val="single"/>
          <w:insideH w:val="nil"/>
          <w:insideV w:space="0" w:sz="8" w:themeColor="accent4" w:color="8064A2" w:val="single"/>
        </w:tcBorders>
      </w:tcPr>
    </w:tblStylePr>
    <w:tblStylePr w:type="firstCol">
      <w:rPr>
        <w:rFonts w:cstheme="majorBidi" w:eastAsiaTheme="majorEastAsia" w:hAnsiTheme="majorHAnsi" w:asciiTheme="majorHAnsi"/>
        <w:b/>
        <w:bCs/>
      </w:rPr>
      <w:tblPr/>
    </w:tblStylePr>
    <w:tblStylePr w:type="lastCol">
      <w:rPr>
        <w:rFonts w:cstheme="majorBidi" w:eastAsiaTheme="majorEastAsia" w:hAnsiTheme="majorHAnsi" w:asciiTheme="majorHAnsi"/>
        <w:b/>
        <w:bCs/>
      </w:rPr>
      <w:tblPr/>
      <w:tcPr>
        <w:tcBorders>
          <w:top w:space="0" w:sz="8" w:themeColor="accent4" w:color="8064A2" w:val="single"/>
          <w:left w:space="0" w:sz="8" w:themeColor="accent4" w:color="8064A2" w:val="single"/>
          <w:bottom w:space="0" w:sz="8" w:themeColor="accent4" w:color="8064A2" w:val="single"/>
          <w:right w:space="0" w:sz="8" w:themeColor="accent4" w:color="8064A2" w:val="single"/>
        </w:tcBorders>
      </w:tcPr>
    </w:tblStylePr>
    <w:tblStylePr w:type="band1Vert">
      <w:tblPr/>
      <w:tcPr>
        <w:tcBorders>
          <w:top w:space="0" w:sz="8" w:themeColor="accent4" w:color="8064A2" w:val="single"/>
          <w:left w:space="0" w:sz="8" w:themeColor="accent4" w:color="8064A2" w:val="single"/>
          <w:bottom w:space="0" w:sz="8" w:themeColor="accent4" w:color="8064A2" w:val="single"/>
          <w:right w:space="0" w:sz="8" w:themeColor="accent4" w:color="8064A2" w:val="single"/>
        </w:tcBorders>
        <w:shd w:themeFillTint="3f" w:themeFill="accent4" w:fill="DFD8E8" w:color="auto" w:val="clear"/>
      </w:tcPr>
    </w:tblStylePr>
    <w:tblStylePr w:type="band1Horz">
      <w:tblPr/>
      <w:tcPr>
        <w:tcBorders>
          <w:top w:space="0" w:sz="8" w:themeColor="accent4" w:color="8064A2" w:val="single"/>
          <w:left w:space="0" w:sz="8" w:themeColor="accent4" w:color="8064A2" w:val="single"/>
          <w:bottom w:space="0" w:sz="8" w:themeColor="accent4" w:color="8064A2" w:val="single"/>
          <w:right w:space="0" w:sz="8" w:themeColor="accent4" w:color="8064A2" w:val="single"/>
          <w:insideV w:space="0" w:sz="8" w:themeColor="accent4" w:color="8064A2" w:val="single"/>
        </w:tcBorders>
        <w:shd w:themeFillTint="3f" w:themeFill="accent4" w:fill="DFD8E8" w:color="auto" w:val="clear"/>
      </w:tcPr>
    </w:tblStylePr>
    <w:tblStylePr w:type="band2Horz">
      <w:tblPr/>
      <w:tcPr>
        <w:tcBorders>
          <w:top w:space="0" w:sz="8" w:themeColor="accent4" w:color="8064A2" w:val="single"/>
          <w:left w:space="0" w:sz="8" w:themeColor="accent4" w:color="8064A2" w:val="single"/>
          <w:bottom w:space="0" w:sz="8" w:themeColor="accent4" w:color="8064A2" w:val="single"/>
          <w:right w:space="0" w:sz="8" w:themeColor="accent4" w:color="8064A2" w:val="single"/>
          <w:insideV w:space="0" w:sz="8" w:themeColor="accent4" w:color="8064A2" w:val="single"/>
        </w:tcBorders>
      </w:tcPr>
    </w:tblStylePr>
  </w:style>
  <w:style w:type="table" w:styleId="GradeClara-nfase5">
    <w:name w:val="Light Grid Accent 5"/>
    <w:basedOn w:val="Tabelanormal"/>
    <w:uiPriority w:val="62"/>
    <w:rsid w:val="00cd00c4"/>
    <w:pPr>
      <w:spacing w:line="240" w:lineRule="auto" w:after="0"/>
    </w:pPr>
    <w:tblPr>
      <w:tblStyleRowBandSize w:val="1"/>
      <w:tblStyleColBandSize w:val="1"/>
      <w:tblInd w:type="dxa" w:w="0"/>
      <w:tblBorders>
        <w:top w:space="0" w:sz="8" w:themeColor="accent5" w:color="4BACC6" w:val="single"/>
        <w:left w:space="0" w:sz="8" w:themeColor="accent5" w:color="4BACC6" w:val="single"/>
        <w:bottom w:space="0" w:sz="8" w:themeColor="accent5" w:color="4BACC6" w:val="single"/>
        <w:right w:space="0" w:sz="8" w:themeColor="accent5" w:color="4BACC6" w:val="single"/>
        <w:insideH w:space="0" w:sz="8" w:themeColor="accent5" w:color="4BACC6" w:val="single"/>
        <w:insideV w:space="0" w:sz="8" w:themeColor="accent5" w:color="4BACC6" w:val="single"/>
      </w:tblBorders>
      <w:tblCellMar>
        <w:top w:w="0" w:type="dxa"/>
        <w:left w:w="108" w:type="dxa"/>
        <w:bottom w:w="0" w:type="dxa"/>
        <w:right w:w="108" w:type="dxa"/>
      </w:tblCellMar>
    </w:tblPr>
    <w:tblStylePr w:type="firstRow">
      <w:pPr>
        <w:spacing w:line="240" w:lineRule="auto" w:after="0" w:before="0"/>
      </w:pPr>
      <w:rPr>
        <w:rFonts w:cstheme="majorBidi" w:eastAsiaTheme="majorEastAsia" w:hAnsiTheme="majorHAnsi" w:asciiTheme="majorHAnsi"/>
        <w:b/>
        <w:bCs/>
      </w:rPr>
      <w:tblPr/>
      <w:tcPr>
        <w:tcBorders>
          <w:top w:space="0" w:sz="8" w:themeColor="accent5" w:color="4BACC6" w:val="single"/>
          <w:left w:space="0" w:sz="8" w:themeColor="accent5" w:color="4BACC6" w:val="single"/>
          <w:bottom w:space="0" w:sz="18" w:themeColor="accent5" w:color="4BACC6" w:val="single"/>
          <w:right w:space="0" w:sz="8" w:themeColor="accent5" w:color="4BACC6" w:val="single"/>
          <w:insideH w:val="nil"/>
          <w:insideV w:space="0" w:sz="8" w:themeColor="accent5" w:color="4BACC6" w:val="single"/>
        </w:tcBorders>
      </w:tcPr>
    </w:tblStylePr>
    <w:tblStylePr w:type="lastRow">
      <w:pPr>
        <w:spacing w:line="240" w:lineRule="auto" w:after="0" w:before="0"/>
      </w:pPr>
      <w:rPr>
        <w:rFonts w:cstheme="majorBidi" w:eastAsiaTheme="majorEastAsia" w:hAnsiTheme="majorHAnsi" w:asciiTheme="majorHAnsi"/>
        <w:b/>
        <w:bCs/>
      </w:rPr>
      <w:tblPr/>
      <w:tcPr>
        <w:tcBorders>
          <w:top w:space="0" w:sz="6" w:themeColor="accent5" w:color="4BACC6" w:val="double"/>
          <w:left w:space="0" w:sz="8" w:themeColor="accent5" w:color="4BACC6" w:val="single"/>
          <w:bottom w:space="0" w:sz="8" w:themeColor="accent5" w:color="4BACC6" w:val="single"/>
          <w:right w:space="0" w:sz="8" w:themeColor="accent5" w:color="4BACC6" w:val="single"/>
          <w:insideH w:val="nil"/>
          <w:insideV w:space="0" w:sz="8" w:themeColor="accent5" w:color="4BACC6" w:val="single"/>
        </w:tcBorders>
      </w:tcPr>
    </w:tblStylePr>
    <w:tblStylePr w:type="firstCol">
      <w:rPr>
        <w:rFonts w:cstheme="majorBidi" w:eastAsiaTheme="majorEastAsia" w:hAnsiTheme="majorHAnsi" w:asciiTheme="majorHAnsi"/>
        <w:b/>
        <w:bCs/>
      </w:rPr>
      <w:tblPr/>
    </w:tblStylePr>
    <w:tblStylePr w:type="lastCol">
      <w:rPr>
        <w:rFonts w:cstheme="majorBidi" w:eastAsiaTheme="majorEastAsia" w:hAnsiTheme="majorHAnsi" w:asciiTheme="majorHAnsi"/>
        <w:b/>
        <w:bCs/>
      </w:rPr>
      <w:tblPr/>
      <w:tcPr>
        <w:tcBorders>
          <w:top w:space="0" w:sz="8" w:themeColor="accent5" w:color="4BACC6" w:val="single"/>
          <w:left w:space="0" w:sz="8" w:themeColor="accent5" w:color="4BACC6" w:val="single"/>
          <w:bottom w:space="0" w:sz="8" w:themeColor="accent5" w:color="4BACC6" w:val="single"/>
          <w:right w:space="0" w:sz="8" w:themeColor="accent5" w:color="4BACC6" w:val="single"/>
        </w:tcBorders>
      </w:tcPr>
    </w:tblStylePr>
    <w:tblStylePr w:type="band1Vert">
      <w:tblPr/>
      <w:tcPr>
        <w:tcBorders>
          <w:top w:space="0" w:sz="8" w:themeColor="accent5" w:color="4BACC6" w:val="single"/>
          <w:left w:space="0" w:sz="8" w:themeColor="accent5" w:color="4BACC6" w:val="single"/>
          <w:bottom w:space="0" w:sz="8" w:themeColor="accent5" w:color="4BACC6" w:val="single"/>
          <w:right w:space="0" w:sz="8" w:themeColor="accent5" w:color="4BACC6" w:val="single"/>
        </w:tcBorders>
        <w:shd w:themeFillTint="3f" w:themeFill="accent5" w:fill="D2EAF1" w:color="auto" w:val="clear"/>
      </w:tcPr>
    </w:tblStylePr>
    <w:tblStylePr w:type="band1Horz">
      <w:tblPr/>
      <w:tcPr>
        <w:tcBorders>
          <w:top w:space="0" w:sz="8" w:themeColor="accent5" w:color="4BACC6" w:val="single"/>
          <w:left w:space="0" w:sz="8" w:themeColor="accent5" w:color="4BACC6" w:val="single"/>
          <w:bottom w:space="0" w:sz="8" w:themeColor="accent5" w:color="4BACC6" w:val="single"/>
          <w:right w:space="0" w:sz="8" w:themeColor="accent5" w:color="4BACC6" w:val="single"/>
          <w:insideV w:space="0" w:sz="8" w:themeColor="accent5" w:color="4BACC6" w:val="single"/>
        </w:tcBorders>
        <w:shd w:themeFillTint="3f" w:themeFill="accent5" w:fill="D2EAF1" w:color="auto" w:val="clear"/>
      </w:tcPr>
    </w:tblStylePr>
    <w:tblStylePr w:type="band2Horz">
      <w:tblPr/>
      <w:tcPr>
        <w:tcBorders>
          <w:top w:space="0" w:sz="8" w:themeColor="accent5" w:color="4BACC6" w:val="single"/>
          <w:left w:space="0" w:sz="8" w:themeColor="accent5" w:color="4BACC6" w:val="single"/>
          <w:bottom w:space="0" w:sz="8" w:themeColor="accent5" w:color="4BACC6" w:val="single"/>
          <w:right w:space="0" w:sz="8" w:themeColor="accent5" w:color="4BACC6" w:val="single"/>
          <w:insideV w:space="0" w:sz="8" w:themeColor="accent5" w:color="4BACC6" w:val="single"/>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CEC73-19AF-47D5-ADFD-E5ABB44C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LibreOffice/4.2.5.2$Windows_x86 LibreOffice_project/61cb170a04bb1f12e77c884eab9192be736ec5f5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2017-01-16T18:09:00Z</dcterms:created>
  <dc:creator>UFSM</dc:creator>
  <dc:language>pt-BR</dc:language>
  <cp:lastModifiedBy>usuario</cp:lastModifiedBy>
  <dcterms:modified xsi:type="dcterms:W3CDTF">2017-01-16T18:09:00Z</dcterms:modified>
  <cp:revision>2</cp:revision>
</cp:coreProperties>
</file>