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A1" w:rsidRPr="00020EA1" w:rsidRDefault="00020EA1" w:rsidP="00020EA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20EA1">
        <w:rPr>
          <w:rFonts w:ascii="Times New Roman" w:hAnsi="Times New Roman" w:cs="Times New Roman"/>
          <w:b/>
          <w:bCs/>
        </w:rPr>
        <w:t>DESAFIOS INSTITUCIONAIS</w:t>
      </w:r>
    </w:p>
    <w:p w:rsidR="00020EA1" w:rsidRPr="00020EA1" w:rsidRDefault="00020EA1" w:rsidP="00020EA1">
      <w:pPr>
        <w:pStyle w:val="Default"/>
        <w:jc w:val="center"/>
        <w:rPr>
          <w:rFonts w:ascii="Times New Roman" w:hAnsi="Times New Roman" w:cs="Times New Roman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  <w:r w:rsidRPr="00020EA1">
        <w:rPr>
          <w:rFonts w:ascii="Times New Roman" w:hAnsi="Times New Roman" w:cs="Times New Roman"/>
        </w:rPr>
        <w:t xml:space="preserve">A definição de desafios institucionais para a Universidade tem como objetivo aprimorar sua relevância social para o desenvolvimento humano, científico, cultural e tecnológico. Esses desafios foram definidos pela Comissão Central do PDI e servem de base para a elaboração dos objetivos institucionais que farão parte do mapa estratégico da Instituição. Foram sete </w:t>
      </w:r>
      <w:r w:rsidRPr="00020EA1">
        <w:rPr>
          <w:rFonts w:ascii="Times New Roman" w:hAnsi="Times New Roman" w:cs="Times New Roman"/>
          <w:i/>
          <w:iCs/>
        </w:rPr>
        <w:t xml:space="preserve">desafios institucionais </w:t>
      </w:r>
      <w:r w:rsidRPr="00020EA1">
        <w:rPr>
          <w:rFonts w:ascii="Times New Roman" w:hAnsi="Times New Roman" w:cs="Times New Roman"/>
        </w:rPr>
        <w:t xml:space="preserve">definidos para o PDI 2016-2026 da UFSM e para cada um deles foi elaborado um conjunto de palavras-chave com o objetivo de auxiliar no entendimento sobre a abrangência dos assuntos relacionados. A relação de desafios e as suas respectivas palavras-chave estão listados abaixo.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  <w:r w:rsidRPr="00020EA1">
        <w:rPr>
          <w:rFonts w:ascii="Times New Roman" w:hAnsi="Times New Roman" w:cs="Times New Roman"/>
          <w:b/>
        </w:rPr>
        <w:t xml:space="preserve">1. Internacionalização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  <w:r w:rsidRPr="00020EA1">
        <w:rPr>
          <w:rFonts w:ascii="Times New Roman" w:hAnsi="Times New Roman" w:cs="Times New Roman"/>
        </w:rPr>
        <w:t xml:space="preserve">Palavras-chave: Convênios e Parcerias Estratégicas Institucionais; Mobilidade de Servidores e Discentes; Aulas em Língua Estrangeira; Programas de Intercâmbio e Bolsas de Estudo; Cooperação Internacional em Pesquisa e Ensino; Acreditação e Dupla Diplomação; Visibilidade e Atratividade Internacional (concursos bilíngues) e Comunicação Internacional e Divulgação Científica.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  <w:r w:rsidRPr="00020EA1">
        <w:rPr>
          <w:rFonts w:ascii="Times New Roman" w:hAnsi="Times New Roman" w:cs="Times New Roman"/>
          <w:b/>
        </w:rPr>
        <w:t>2. Educação Inovadora e Transform</w:t>
      </w:r>
      <w:r w:rsidRPr="00020EA1">
        <w:rPr>
          <w:rFonts w:ascii="Times New Roman" w:hAnsi="Times New Roman" w:cs="Times New Roman"/>
          <w:b/>
        </w:rPr>
        <w:t xml:space="preserve">adora com Excelência Acadêmica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  <w:r w:rsidRPr="00020EA1">
        <w:rPr>
          <w:rFonts w:ascii="Times New Roman" w:hAnsi="Times New Roman" w:cs="Times New Roman"/>
        </w:rPr>
        <w:t xml:space="preserve">Palavras-chave: Educação Autônoma e Empreendedora; Educação Científica; Transversalidade e interdisciplinaridade; Inovação Curricular; Novas Tecnologias e Metodologias; Sistema de Avaliação (Interna e Externa) e Relação Ingresso/Diplomação.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  <w:r w:rsidRPr="00020EA1">
        <w:rPr>
          <w:rFonts w:ascii="Times New Roman" w:hAnsi="Times New Roman" w:cs="Times New Roman"/>
          <w:b/>
        </w:rPr>
        <w:t xml:space="preserve">3. Inclusão Social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  <w:r w:rsidRPr="00020EA1">
        <w:rPr>
          <w:rFonts w:ascii="Times New Roman" w:hAnsi="Times New Roman" w:cs="Times New Roman"/>
        </w:rPr>
        <w:t xml:space="preserve">Palavras-chave: Acessibilidade; Equidade; Assistência Estudantil; Ações Afirmativas para Ingresso e Permanência; Diversidade Étnico-Racial, Cultural e de Gênero; Ações de apoio pedagógico e Acessibilidade Informacional e Comunicativa.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  <w:r w:rsidRPr="00020EA1">
        <w:rPr>
          <w:rFonts w:ascii="Times New Roman" w:hAnsi="Times New Roman" w:cs="Times New Roman"/>
          <w:b/>
        </w:rPr>
        <w:t>4. Inovação, Geração de Conhecimento</w:t>
      </w:r>
      <w:r w:rsidRPr="00020EA1">
        <w:rPr>
          <w:rFonts w:ascii="Times New Roman" w:hAnsi="Times New Roman" w:cs="Times New Roman"/>
          <w:b/>
        </w:rPr>
        <w:t xml:space="preserve"> e Transferência de Tecnologia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</w:rPr>
      </w:pPr>
      <w:r w:rsidRPr="00020EA1">
        <w:rPr>
          <w:rFonts w:ascii="Times New Roman" w:hAnsi="Times New Roman" w:cs="Times New Roman"/>
        </w:rPr>
        <w:t xml:space="preserve">Palavras-chave: Transferência de Tecnologia; Proteção da Propriedade Intelectual gerada na UFSM; Ambientes de Inovação (Incubadoras, Parques Tecnológicos, etc.); Empreendedorismo; Integração Universidade/Empresa/Sociedade e Integração Ensino/Pesquisa/Inovação.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20EA1">
        <w:rPr>
          <w:rFonts w:ascii="Times New Roman" w:hAnsi="Times New Roman" w:cs="Times New Roman"/>
          <w:b/>
          <w:color w:val="auto"/>
        </w:rPr>
        <w:t xml:space="preserve">5. Modernização e </w:t>
      </w:r>
      <w:r w:rsidRPr="00020EA1">
        <w:rPr>
          <w:rFonts w:ascii="Times New Roman" w:hAnsi="Times New Roman" w:cs="Times New Roman"/>
          <w:b/>
          <w:color w:val="auto"/>
        </w:rPr>
        <w:t xml:space="preserve">Desenvolvimento Organizacional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0EA1">
        <w:rPr>
          <w:rFonts w:ascii="Times New Roman" w:hAnsi="Times New Roman" w:cs="Times New Roman"/>
          <w:color w:val="auto"/>
        </w:rPr>
        <w:t xml:space="preserve">Palavras-chave: Modernização Administrativa; Transparência Administrativa; Gestão de Pessoas; Controladoria e Governança; Sistemas de Informações Gerenciais; Desburocratização, Agilidade e Efetividade; Planejamento da Infraestrutura Física e Territorial e Comunicação Integrada e Convergência de Mídias.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20EA1">
        <w:rPr>
          <w:rFonts w:ascii="Times New Roman" w:hAnsi="Times New Roman" w:cs="Times New Roman"/>
          <w:b/>
          <w:color w:val="auto"/>
        </w:rPr>
        <w:t>6. Desenvolvime</w:t>
      </w:r>
      <w:r w:rsidRPr="00020EA1">
        <w:rPr>
          <w:rFonts w:ascii="Times New Roman" w:hAnsi="Times New Roman" w:cs="Times New Roman"/>
          <w:b/>
          <w:color w:val="auto"/>
        </w:rPr>
        <w:t xml:space="preserve">nto Local, Regional e Nacional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20EA1">
        <w:rPr>
          <w:rFonts w:ascii="Times New Roman" w:hAnsi="Times New Roman" w:cs="Times New Roman"/>
          <w:color w:val="auto"/>
        </w:rPr>
        <w:t xml:space="preserve">Palavras-chave: Identificação de potenciais de desenvolvimento; Ações estratégicas de desenvolvimento; Integração Ensino/Pesquisa/Extensão; Valorização das Ações de Extensão e Comunicação Pública e Interesse Público. </w:t>
      </w: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0EA1" w:rsidRPr="00020EA1" w:rsidRDefault="00020EA1" w:rsidP="00020EA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20EA1">
        <w:rPr>
          <w:rFonts w:ascii="Times New Roman" w:hAnsi="Times New Roman" w:cs="Times New Roman"/>
          <w:b/>
          <w:color w:val="auto"/>
        </w:rPr>
        <w:t xml:space="preserve">7. Gestão Ambiental </w:t>
      </w:r>
    </w:p>
    <w:p w:rsidR="00020EA1" w:rsidRPr="00020EA1" w:rsidRDefault="00020EA1" w:rsidP="00020EA1">
      <w:pPr>
        <w:jc w:val="both"/>
        <w:rPr>
          <w:rFonts w:ascii="Times New Roman" w:hAnsi="Times New Roman" w:cs="Times New Roman"/>
          <w:sz w:val="24"/>
          <w:szCs w:val="24"/>
        </w:rPr>
      </w:pPr>
      <w:r w:rsidRPr="00020EA1">
        <w:rPr>
          <w:rFonts w:ascii="Times New Roman" w:hAnsi="Times New Roman" w:cs="Times New Roman"/>
          <w:sz w:val="24"/>
          <w:szCs w:val="24"/>
        </w:rPr>
        <w:t>Palavras-chave: Licenciamento Ambiental; Sistema de Gestão Ambiental; Compras e Contratações Sustentáveis; Educação Ambiental; Proteção e Recuperação de Áreas Verdes; Resíduos Sólidos e Logística Reversa; Eficiência Energética; Sustentabilidade Hídrica e Mecanismos de Desenvolvimento Limpo.</w:t>
      </w:r>
    </w:p>
    <w:p w:rsidR="00020EA1" w:rsidRDefault="00020EA1" w:rsidP="00020EA1">
      <w:pPr>
        <w:pStyle w:val="Default"/>
        <w:jc w:val="both"/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</w:rPr>
      </w:pPr>
      <w:r w:rsidRPr="00393C55">
        <w:rPr>
          <w:rFonts w:asciiTheme="minorHAnsi" w:hAnsiTheme="minorHAnsi"/>
          <w:sz w:val="28"/>
          <w:szCs w:val="28"/>
        </w:rPr>
        <w:t>Desafio 1 – Internacionalização – objetivos estratégicos</w:t>
      </w:r>
    </w:p>
    <w:p w:rsidR="00020EA1" w:rsidRPr="00393C55" w:rsidRDefault="00020EA1" w:rsidP="00020EA1">
      <w:pPr>
        <w:pStyle w:val="Corpodetexto"/>
        <w:spacing w:before="7" w:after="1"/>
        <w:rPr>
          <w:rFonts w:asciiTheme="minorHAnsi" w:hAnsiTheme="minorHAnsi"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7169"/>
      </w:tblGrid>
      <w:tr w:rsidR="00020EA1" w:rsidRPr="00393C55" w:rsidTr="00392039">
        <w:trPr>
          <w:trHeight w:hRule="exact" w:val="360"/>
        </w:trPr>
        <w:tc>
          <w:tcPr>
            <w:tcW w:w="127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B6231"/>
          </w:tcPr>
          <w:p w:rsidR="00020EA1" w:rsidRPr="00393C55" w:rsidRDefault="00020EA1" w:rsidP="00392039">
            <w:pPr>
              <w:pStyle w:val="TableParagraph"/>
              <w:spacing w:before="68"/>
              <w:ind w:left="215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spacing w:val="-2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169" w:type="dxa"/>
            <w:tcBorders>
              <w:left w:val="single" w:sz="5" w:space="0" w:color="000000"/>
            </w:tcBorders>
            <w:shd w:val="clear" w:color="auto" w:fill="EB6231"/>
          </w:tcPr>
          <w:p w:rsidR="00020EA1" w:rsidRPr="00393C55" w:rsidRDefault="00020EA1" w:rsidP="00392039">
            <w:pPr>
              <w:pStyle w:val="TableParagraph"/>
              <w:spacing w:before="68"/>
              <w:ind w:left="62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8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4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778"/>
        </w:trPr>
        <w:tc>
          <w:tcPr>
            <w:tcW w:w="12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35" w:line="224" w:lineRule="exact"/>
              <w:ind w:left="210" w:right="211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ind w:left="209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169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2"/>
              <w:rPr>
                <w:rFonts w:asciiTheme="minorHAnsi" w:hAnsiTheme="minorHAnsi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inserção científica institucional</w:t>
            </w:r>
          </w:p>
        </w:tc>
      </w:tr>
      <w:tr w:rsidR="00020EA1" w:rsidRPr="00AA1F64" w:rsidTr="00392039">
        <w:trPr>
          <w:trHeight w:hRule="exact" w:val="614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8"/>
              <w:rPr>
                <w:rFonts w:asciiTheme="minorHAnsi" w:hAnsiTheme="minorHAnsi"/>
                <w:sz w:val="28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5" w:lineRule="exact"/>
              <w:ind w:left="210" w:right="21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3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76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parcerias com pesquisadores e instituições internacionais</w:t>
            </w:r>
          </w:p>
        </w:tc>
      </w:tr>
      <w:tr w:rsidR="00020EA1" w:rsidRPr="00AA1F64" w:rsidTr="00392039">
        <w:trPr>
          <w:trHeight w:hRule="exact" w:val="694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"/>
              <w:rPr>
                <w:rFonts w:asciiTheme="minorHAnsi" w:hAnsiTheme="minorHAnsi"/>
                <w:sz w:val="18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Oportunizar experiências de internacionalização aos alunos</w:t>
            </w:r>
          </w:p>
        </w:tc>
      </w:tr>
      <w:tr w:rsidR="00020EA1" w:rsidRPr="00AA1F64" w:rsidTr="00392039">
        <w:trPr>
          <w:trHeight w:hRule="exact" w:val="612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54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Firmar relações de colaboração internacional para trocas culturais e desenvolvimento de políticas acadêmicas e de gestão</w:t>
            </w:r>
          </w:p>
        </w:tc>
      </w:tr>
      <w:tr w:rsidR="00020EA1" w:rsidRPr="00AA1F64" w:rsidTr="00392039">
        <w:trPr>
          <w:trHeight w:hRule="exact" w:val="607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54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currículos interdisciplinares, flexíveis e atualizados em relação às demandas da sociedade</w:t>
            </w:r>
          </w:p>
        </w:tc>
      </w:tr>
      <w:tr w:rsidR="00020EA1" w:rsidRPr="00AA1F64" w:rsidTr="00392039">
        <w:trPr>
          <w:trHeight w:hRule="exact" w:val="64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1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710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4"/>
              <w:ind w:left="62" w:right="149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processos e rotinas de trabalho que considerem a realidade multi-campi e os diferentes níveis de ensino</w:t>
            </w:r>
          </w:p>
        </w:tc>
      </w:tr>
      <w:tr w:rsidR="00020EA1" w:rsidRPr="00AA1F64" w:rsidTr="00392039">
        <w:trPr>
          <w:trHeight w:hRule="exact" w:val="620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1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62" w:right="65" w:hanging="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Aprendizado e          </w:t>
            </w:r>
            <w:r w:rsidRPr="00393C55">
              <w:rPr>
                <w:rFonts w:asciiTheme="minorHAnsi" w:hAnsiTheme="minorHAnsi"/>
                <w:w w:val="95"/>
                <w:sz w:val="20"/>
              </w:rPr>
              <w:t>Infraestrutura</w:t>
            </w: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8"/>
              <w:rPr>
                <w:rFonts w:asciiTheme="minorHAnsi" w:hAnsiTheme="minorHAnsi"/>
                <w:sz w:val="15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Prover infraestrutura e ambiente de acolhimento para integração internacional</w:t>
            </w:r>
          </w:p>
        </w:tc>
      </w:tr>
      <w:tr w:rsidR="00020EA1" w:rsidRPr="00AA1F64" w:rsidTr="00392039">
        <w:trPr>
          <w:trHeight w:hRule="exact" w:val="712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108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desenvolvimento de um quadro docente com pesquisadores de excelência que sejam referência na área</w:t>
            </w:r>
          </w:p>
        </w:tc>
      </w:tr>
    </w:tbl>
    <w:p w:rsidR="00020EA1" w:rsidRPr="00020EA1" w:rsidRDefault="00020EA1" w:rsidP="00020EA1">
      <w:pPr>
        <w:pStyle w:val="Default"/>
        <w:jc w:val="both"/>
      </w:pPr>
    </w:p>
    <w:p w:rsidR="00020EA1" w:rsidRPr="00020EA1" w:rsidRDefault="00020EA1" w:rsidP="00020EA1">
      <w:pPr>
        <w:pStyle w:val="Default"/>
        <w:jc w:val="both"/>
      </w:pPr>
    </w:p>
    <w:p w:rsidR="0033714E" w:rsidRDefault="0033714E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>Desafio 2 – Educação transformadora com excelência – objetivos estratégicos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7646"/>
      </w:tblGrid>
      <w:tr w:rsidR="00020EA1" w:rsidRPr="00393C55" w:rsidTr="00392039">
        <w:trPr>
          <w:trHeight w:hRule="exact" w:val="360"/>
        </w:trPr>
        <w:tc>
          <w:tcPr>
            <w:tcW w:w="127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64B32F"/>
          </w:tcPr>
          <w:p w:rsidR="00020EA1" w:rsidRPr="00393C55" w:rsidRDefault="00020EA1" w:rsidP="00392039">
            <w:pPr>
              <w:pStyle w:val="TableParagraph"/>
              <w:spacing w:before="71"/>
              <w:ind w:left="215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spacing w:val="-2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646" w:type="dxa"/>
            <w:tcBorders>
              <w:left w:val="single" w:sz="5" w:space="0" w:color="000000"/>
            </w:tcBorders>
            <w:shd w:val="clear" w:color="auto" w:fill="64B32F"/>
          </w:tcPr>
          <w:p w:rsidR="00020EA1" w:rsidRPr="00393C55" w:rsidRDefault="00020EA1" w:rsidP="00392039">
            <w:pPr>
              <w:pStyle w:val="TableParagraph"/>
              <w:spacing w:before="71"/>
              <w:ind w:left="62" w:right="95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8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4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469"/>
        </w:trPr>
        <w:tc>
          <w:tcPr>
            <w:tcW w:w="127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25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210" w:right="211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spacing w:line="237" w:lineRule="auto"/>
              <w:ind w:left="209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646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00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cursos de excelência integrados à sociedade</w:t>
            </w:r>
          </w:p>
        </w:tc>
      </w:tr>
      <w:tr w:rsidR="00020EA1" w:rsidRPr="00AA1F64" w:rsidTr="00392039">
        <w:trPr>
          <w:trHeight w:hRule="exact" w:val="703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01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Formar alunos com visão global e humanista, comprometidos com a sociedade, com o meio ambiente e com o desenvolvimento científico e tecnológico</w:t>
            </w:r>
          </w:p>
        </w:tc>
      </w:tr>
      <w:tr w:rsidR="00020EA1" w:rsidRPr="00AA1F64" w:rsidTr="00392039">
        <w:trPr>
          <w:trHeight w:hRule="exact" w:val="568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56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sentimento de pertencimento e satisfação dos alunos para com a UFSM</w:t>
            </w:r>
          </w:p>
        </w:tc>
      </w:tr>
      <w:tr w:rsidR="00020EA1" w:rsidRPr="00AA1F64" w:rsidTr="00392039">
        <w:trPr>
          <w:trHeight w:hRule="exact" w:val="706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41" w:line="224" w:lineRule="exact"/>
              <w:ind w:left="210" w:right="21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1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0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o aprendizado extraclasse, oportunizando atividades de extensão, inserção na sociedade, empreendedorismo, pesquisa e inovação</w:t>
            </w:r>
          </w:p>
        </w:tc>
      </w:tr>
      <w:tr w:rsidR="00020EA1" w:rsidRPr="00AA1F64" w:rsidTr="00392039">
        <w:trPr>
          <w:trHeight w:hRule="exact" w:val="559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50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Manter métodos de ensino atualizados e de acordo com as expectativas dos alunos</w:t>
            </w:r>
          </w:p>
        </w:tc>
      </w:tr>
      <w:tr w:rsidR="00020EA1" w:rsidRPr="00AA1F64" w:rsidTr="00392039">
        <w:trPr>
          <w:trHeight w:hRule="exact" w:val="725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9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currículos interdisciplinares, flexíveis e atualizados em relação às demandas da sociedade</w:t>
            </w:r>
          </w:p>
        </w:tc>
      </w:tr>
      <w:tr w:rsidR="00020EA1" w:rsidRPr="00AA1F64" w:rsidTr="00392039">
        <w:trPr>
          <w:trHeight w:hRule="exact" w:val="69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95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estratégias de permanência que incentivem o aprendizado e a conclusão do curso dentro de um prazo adequado</w:t>
            </w:r>
          </w:p>
        </w:tc>
      </w:tr>
      <w:tr w:rsidR="00020EA1" w:rsidRPr="00AA1F64" w:rsidTr="00392039">
        <w:trPr>
          <w:trHeight w:hRule="exact" w:val="720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708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2"/>
              <w:ind w:left="62" w:right="25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processos e rotinas de trabalho que considerem a realidade multi-campi e os diferentes níveis de ensino</w:t>
            </w:r>
          </w:p>
        </w:tc>
      </w:tr>
      <w:tr w:rsidR="00020EA1" w:rsidRPr="00AA1F64" w:rsidTr="00392039">
        <w:trPr>
          <w:trHeight w:hRule="exact" w:val="710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Instituir um processo de relacionamento e colaboração c/ os diversos setores da sociedade</w:t>
            </w:r>
          </w:p>
        </w:tc>
      </w:tr>
      <w:tr w:rsidR="00020EA1" w:rsidRPr="00AA1F64" w:rsidTr="00392039">
        <w:trPr>
          <w:trHeight w:hRule="exact" w:val="622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2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62" w:right="65" w:hanging="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Aprendizado e          </w:t>
            </w:r>
            <w:r w:rsidRPr="00393C55">
              <w:rPr>
                <w:rFonts w:asciiTheme="minorHAnsi" w:hAnsiTheme="minorHAnsi"/>
                <w:w w:val="95"/>
                <w:sz w:val="20"/>
              </w:rPr>
              <w:t>Infraestrutura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1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Manter um quadro docente capacitado quanto ao uso de práticas pedagógicas</w:t>
            </w:r>
          </w:p>
        </w:tc>
      </w:tr>
      <w:tr w:rsidR="00020EA1" w:rsidRPr="00AA1F64" w:rsidTr="00392039">
        <w:trPr>
          <w:trHeight w:hRule="exact" w:val="569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15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uma cultura de comprometimento organizacional</w:t>
            </w:r>
          </w:p>
        </w:tc>
      </w:tr>
      <w:tr w:rsidR="00020EA1" w:rsidRPr="00AA1F64" w:rsidTr="00392039">
        <w:trPr>
          <w:trHeight w:hRule="exact" w:val="694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9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uma infraestrutura de apoio qualificada e de acordo com as necessidades de cada área de conhecimento</w:t>
            </w:r>
          </w:p>
        </w:tc>
      </w:tr>
      <w:tr w:rsidR="00020EA1" w:rsidRPr="00AA1F64" w:rsidTr="00392039">
        <w:trPr>
          <w:trHeight w:hRule="exact" w:val="67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85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 cultura de inovação, compromisso social e integração entre ensino, pesquisa e extensão e entre as diferentes áreas de conhecimento</w:t>
            </w:r>
          </w:p>
        </w:tc>
      </w:tr>
      <w:tr w:rsidR="00020EA1" w:rsidRPr="00AA1F64" w:rsidTr="00392039">
        <w:trPr>
          <w:trHeight w:hRule="exact" w:val="709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106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desenvolvimento de um quadro docente com pesquisadores de excelência que sejam referência na área</w:t>
            </w:r>
          </w:p>
        </w:tc>
      </w:tr>
      <w:tr w:rsidR="00020EA1" w:rsidRPr="00AA1F64" w:rsidTr="00392039">
        <w:trPr>
          <w:trHeight w:hRule="exact" w:val="643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73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Equipar laboratórios de pesquisa de acordo com as necessidades de cada área e das necessidades multiusuário</w:t>
            </w:r>
          </w:p>
        </w:tc>
      </w:tr>
      <w:tr w:rsidR="00020EA1" w:rsidRPr="00AA1F64" w:rsidTr="00392039">
        <w:trPr>
          <w:trHeight w:hRule="exact" w:val="643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lef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8"/>
              <w:ind w:left="62" w:right="121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Modernizar a infraestrutura de TI para suportar as necessidades acadêmicas e administrativas</w:t>
            </w:r>
          </w:p>
        </w:tc>
      </w:tr>
      <w:tr w:rsidR="00020EA1" w:rsidRPr="00AA1F64" w:rsidTr="00392039">
        <w:trPr>
          <w:trHeight w:hRule="exact" w:val="643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lef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6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 sistema de seleção e progressão docente com critérios que equilibrem ensino, pesquisa e extensão e as particularidades das diferentes áreas e níveis de ensino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 xml:space="preserve">Desafio 3 – Inclusão Social </w:t>
      </w:r>
    </w:p>
    <w:p w:rsidR="00020EA1" w:rsidRPr="00393C55" w:rsidRDefault="00020EA1" w:rsidP="00020EA1">
      <w:pPr>
        <w:pStyle w:val="Corpodetexto"/>
        <w:spacing w:before="8"/>
        <w:rPr>
          <w:rFonts w:asciiTheme="minorHAnsi" w:hAnsiTheme="minorHAnsi"/>
          <w:sz w:val="11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7646"/>
      </w:tblGrid>
      <w:tr w:rsidR="00020EA1" w:rsidRPr="00393C55" w:rsidTr="00392039">
        <w:trPr>
          <w:trHeight w:hRule="exact" w:val="360"/>
        </w:trPr>
        <w:tc>
          <w:tcPr>
            <w:tcW w:w="127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2AB6B6"/>
          </w:tcPr>
          <w:p w:rsidR="00020EA1" w:rsidRPr="00393C55" w:rsidRDefault="00020EA1" w:rsidP="00392039">
            <w:pPr>
              <w:pStyle w:val="TableParagraph"/>
              <w:spacing w:before="71"/>
              <w:ind w:left="215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spacing w:val="-2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646" w:type="dxa"/>
            <w:tcBorders>
              <w:left w:val="single" w:sz="5" w:space="0" w:color="000000"/>
            </w:tcBorders>
            <w:shd w:val="clear" w:color="auto" w:fill="2AB6B6"/>
          </w:tcPr>
          <w:p w:rsidR="00020EA1" w:rsidRPr="00393C55" w:rsidRDefault="00020EA1" w:rsidP="00392039">
            <w:pPr>
              <w:pStyle w:val="TableParagraph"/>
              <w:spacing w:before="71"/>
              <w:ind w:left="62" w:right="95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8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4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678"/>
        </w:trPr>
        <w:tc>
          <w:tcPr>
            <w:tcW w:w="127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before="8"/>
              <w:rPr>
                <w:rFonts w:asciiTheme="minorHAnsi" w:hAnsiTheme="minorHAnsi"/>
                <w:sz w:val="18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210" w:right="211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ind w:left="209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646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83"/>
              <w:ind w:left="62" w:right="533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Formar alunos com visão global e humanista, comprometidos com a sociedade, com o meio-ambiente e com o desenvolvimento científico e tecnológico</w:t>
            </w:r>
          </w:p>
        </w:tc>
      </w:tr>
      <w:tr w:rsidR="00020EA1" w:rsidRPr="00AA1F64" w:rsidTr="00392039">
        <w:trPr>
          <w:trHeight w:hRule="exact" w:val="658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sentimento de pertencimento e satisfação dos alunos para com a UFSM</w:t>
            </w:r>
          </w:p>
        </w:tc>
      </w:tr>
      <w:tr w:rsidR="00020EA1" w:rsidRPr="00AA1F64" w:rsidTr="00392039">
        <w:trPr>
          <w:trHeight w:hRule="exact" w:val="658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7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as políticas de acesso à universidade em consonância com a estratégia de ações afirmativas do país</w:t>
            </w:r>
          </w:p>
        </w:tc>
      </w:tr>
      <w:tr w:rsidR="00020EA1" w:rsidRPr="00AA1F64" w:rsidTr="00392039">
        <w:trPr>
          <w:trHeight w:hRule="exact" w:val="712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e inserir na sociedade tecnologias sociais e a produção artística e cultural</w:t>
            </w:r>
          </w:p>
        </w:tc>
      </w:tr>
      <w:tr w:rsidR="00020EA1" w:rsidRPr="00AA1F64" w:rsidTr="00392039">
        <w:trPr>
          <w:trHeight w:hRule="exact" w:val="691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9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projetos de extensão com foco na intervenção, transformação e desenvolvimento da sociedade</w:t>
            </w:r>
          </w:p>
        </w:tc>
      </w:tr>
      <w:tr w:rsidR="00020EA1" w:rsidRPr="00AA1F64" w:rsidTr="00392039">
        <w:trPr>
          <w:trHeight w:hRule="exact" w:val="718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2"/>
              <w:rPr>
                <w:rFonts w:asciiTheme="minorHAnsi" w:hAnsiTheme="minorHAnsi"/>
                <w:sz w:val="2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210" w:right="21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1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7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o aprendizado extraclasse, oportunizando atividades de extensão, inserção na sociedade, empreendedorismo, pesquisa e inovação</w:t>
            </w:r>
          </w:p>
        </w:tc>
      </w:tr>
      <w:tr w:rsidR="00020EA1" w:rsidRPr="00AA1F64" w:rsidTr="00392039">
        <w:trPr>
          <w:trHeight w:hRule="exact" w:val="69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1"/>
              <w:rPr>
                <w:rFonts w:asciiTheme="minorHAnsi" w:hAnsiTheme="minorHAnsi"/>
                <w:sz w:val="18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Manter métodos de ensino atualizados e de acordo com as expectativas dos alunos</w:t>
            </w:r>
          </w:p>
        </w:tc>
      </w:tr>
      <w:tr w:rsidR="00020EA1" w:rsidRPr="00AA1F64" w:rsidTr="00392039">
        <w:trPr>
          <w:trHeight w:hRule="exact" w:val="694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95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estratégias de permanência que incentivem o aprendizado e a conclusão do curso dentro de um prazo adequado</w:t>
            </w:r>
          </w:p>
        </w:tc>
      </w:tr>
      <w:tr w:rsidR="00020EA1" w:rsidRPr="00AA1F64" w:rsidTr="00392039">
        <w:trPr>
          <w:trHeight w:hRule="exact" w:val="64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68" w:line="242" w:lineRule="auto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as políticas de assistência estudantil com foco na permanência dos estudantes, conclusão dos estudos e bom uso dos recursos</w:t>
            </w:r>
          </w:p>
        </w:tc>
      </w:tr>
      <w:tr w:rsidR="00020EA1" w:rsidRPr="00AA1F64" w:rsidTr="00392039">
        <w:trPr>
          <w:trHeight w:hRule="exact" w:val="722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12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701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9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eficiência do processo de comunicação institucional</w:t>
            </w:r>
          </w:p>
        </w:tc>
      </w:tr>
      <w:tr w:rsidR="00020EA1" w:rsidRPr="00AA1F64" w:rsidTr="00392039">
        <w:trPr>
          <w:trHeight w:hRule="exact" w:val="713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02" w:line="244" w:lineRule="exact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er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4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b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h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qu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co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-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u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55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2"/>
                <w:w w:val="50"/>
                <w:sz w:val="20"/>
                <w:lang w:val="pt-BR"/>
              </w:rPr>
              <w:t>-</w:t>
            </w:r>
            <w:r w:rsidRPr="00393C55">
              <w:rPr>
                <w:rFonts w:asciiTheme="minorHAnsi" w:hAnsiTheme="minorHAnsi"/>
                <w:w w:val="6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-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74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 xml:space="preserve">s 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>diferentes níveis de ensino</w:t>
            </w:r>
          </w:p>
        </w:tc>
      </w:tr>
      <w:tr w:rsidR="00020EA1" w:rsidRPr="00AA1F64" w:rsidTr="00392039">
        <w:trPr>
          <w:trHeight w:hRule="exact" w:val="696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97"/>
              <w:ind w:left="62" w:right="10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Fomentar projetos de pesquisa, ensino e extensão aplicados a problemas da sociedade e da universidade</w:t>
            </w:r>
          </w:p>
        </w:tc>
      </w:tr>
      <w:tr w:rsidR="00020EA1" w:rsidRPr="00AA1F64" w:rsidTr="00392039">
        <w:trPr>
          <w:trHeight w:hRule="exact" w:val="620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210" w:right="21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62" w:right="65" w:hanging="3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Aprendizado e          </w:t>
            </w:r>
            <w:r w:rsidRPr="00393C55">
              <w:rPr>
                <w:rFonts w:asciiTheme="minorHAnsi" w:hAnsiTheme="minorHAnsi"/>
                <w:w w:val="95"/>
                <w:sz w:val="20"/>
              </w:rPr>
              <w:t>Infraestrutura</w:t>
            </w: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1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Preparar o corpo técnico e docente para lidar com os diferentes aspectos da inclusão social</w:t>
            </w:r>
          </w:p>
        </w:tc>
      </w:tr>
      <w:tr w:rsidR="00020EA1" w:rsidRPr="00AA1F64" w:rsidTr="00392039">
        <w:trPr>
          <w:trHeight w:hRule="exact" w:val="569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158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Disseminar uma cultura ética em relação à inclusão, à diversidade e ao meio-ambiente</w:t>
            </w:r>
          </w:p>
        </w:tc>
      </w:tr>
      <w:tr w:rsidR="00020EA1" w:rsidRPr="00AA1F64" w:rsidTr="00392039">
        <w:trPr>
          <w:trHeight w:hRule="exact" w:val="606"/>
        </w:trPr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646" w:type="dxa"/>
            <w:tcBorders>
              <w:top w:val="single" w:sz="5" w:space="0" w:color="000000"/>
              <w:lef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5"/>
              <w:ind w:left="62" w:right="63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uma infraestrutura de engenharia e logística adequada, respeitando as premissas de acessibilidade e respeito ao meio-ambiente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>Desafio 4 – Inovação, geração de conhecimento e transferência tecnológica</w:t>
      </w:r>
    </w:p>
    <w:p w:rsidR="00020EA1" w:rsidRPr="00393C55" w:rsidRDefault="00020EA1" w:rsidP="00020EA1">
      <w:pPr>
        <w:pStyle w:val="Corpodetexto"/>
        <w:spacing w:before="7" w:after="1"/>
        <w:rPr>
          <w:rFonts w:asciiTheme="minorHAnsi" w:hAnsiTheme="minorHAnsi"/>
          <w:sz w:val="12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428"/>
      </w:tblGrid>
      <w:tr w:rsidR="00020EA1" w:rsidRPr="00393C55" w:rsidTr="00392039">
        <w:trPr>
          <w:trHeight w:hRule="exact" w:val="360"/>
        </w:trPr>
        <w:tc>
          <w:tcPr>
            <w:tcW w:w="149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3475BA"/>
          </w:tcPr>
          <w:p w:rsidR="00020EA1" w:rsidRPr="00393C55" w:rsidRDefault="00020EA1" w:rsidP="00392039">
            <w:pPr>
              <w:pStyle w:val="TableParagraph"/>
              <w:spacing w:before="71"/>
              <w:ind w:left="324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428" w:type="dxa"/>
            <w:tcBorders>
              <w:left w:val="single" w:sz="5" w:space="0" w:color="000000"/>
            </w:tcBorders>
            <w:shd w:val="clear" w:color="auto" w:fill="3475BA"/>
          </w:tcPr>
          <w:p w:rsidR="00020EA1" w:rsidRPr="00393C55" w:rsidRDefault="00020EA1" w:rsidP="00392039">
            <w:pPr>
              <w:pStyle w:val="TableParagraph"/>
              <w:spacing w:before="71"/>
              <w:ind w:left="62" w:right="316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6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2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443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before="1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spacing w:line="237" w:lineRule="auto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428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88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cursos de excelência integrados à sociedade</w:t>
            </w:r>
          </w:p>
        </w:tc>
      </w:tr>
      <w:tr w:rsidR="00020EA1" w:rsidRPr="00AA1F64" w:rsidTr="00392039">
        <w:trPr>
          <w:trHeight w:hRule="exact" w:val="53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7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Formar alunos com visão global e humanista, comprometidos com a sociedade, com o meio-ambiente e com o desenvolvimento científico e tecnológico</w:t>
            </w:r>
          </w:p>
        </w:tc>
      </w:tr>
      <w:tr w:rsidR="00020EA1" w:rsidRPr="00AA1F64" w:rsidTr="00392039">
        <w:trPr>
          <w:trHeight w:hRule="exact" w:val="456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98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inserção científica institucional</w:t>
            </w:r>
          </w:p>
        </w:tc>
      </w:tr>
      <w:tr w:rsidR="00020EA1" w:rsidRPr="00AA1F64" w:rsidTr="00392039">
        <w:trPr>
          <w:trHeight w:hRule="exact" w:val="565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31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 inovação, o desenvolvimento tecnológico e a transferência de tecnologias para a sociedade</w:t>
            </w:r>
          </w:p>
        </w:tc>
      </w:tr>
      <w:tr w:rsidR="00020EA1" w:rsidRPr="00AA1F64" w:rsidTr="00392039">
        <w:trPr>
          <w:trHeight w:hRule="exact" w:val="455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00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e inserir na sociedade tecnologias sociais e a produção artística e cultural</w:t>
            </w:r>
          </w:p>
        </w:tc>
      </w:tr>
      <w:tr w:rsidR="00020EA1" w:rsidRPr="00AA1F64" w:rsidTr="00392039">
        <w:trPr>
          <w:trHeight w:hRule="exact" w:val="548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26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serviços de apoio à comunidade em consonância com a política de inovação e de extensão universitária</w:t>
            </w:r>
          </w:p>
        </w:tc>
      </w:tr>
      <w:tr w:rsidR="00020EA1" w:rsidRPr="00AA1F64" w:rsidTr="00392039">
        <w:trPr>
          <w:trHeight w:hRule="exact" w:val="59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72"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1" w:lineRule="exact"/>
              <w:ind w:left="75" w:right="75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44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o aprendizado extraclasse, oportunizando atividades de extensão, inserção na sociedade, empreendedorismo, pesquisa e inovação</w:t>
            </w:r>
          </w:p>
        </w:tc>
      </w:tr>
      <w:tr w:rsidR="00020EA1" w:rsidRPr="00393C55" w:rsidTr="00392039">
        <w:trPr>
          <w:trHeight w:hRule="exact" w:val="43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88"/>
              <w:ind w:left="62" w:right="64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Implementar projetos interdisciplinares</w:t>
            </w:r>
          </w:p>
        </w:tc>
      </w:tr>
      <w:tr w:rsidR="00020EA1" w:rsidRPr="00AA1F64" w:rsidTr="00392039">
        <w:trPr>
          <w:trHeight w:hRule="exact" w:val="54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/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23"/>
              <w:ind w:left="62" w:right="64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41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8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eficiência do processo de comunicação institucional</w:t>
            </w:r>
          </w:p>
        </w:tc>
      </w:tr>
      <w:tr w:rsidR="00020EA1" w:rsidRPr="00AA1F64" w:rsidTr="00392039">
        <w:trPr>
          <w:trHeight w:hRule="exact" w:val="49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3" w:line="235" w:lineRule="auto"/>
              <w:ind w:left="62" w:right="24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er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4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b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h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qu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co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5"/>
                <w:sz w:val="20"/>
                <w:lang w:val="pt-BR"/>
              </w:rPr>
              <w:t>u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55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2"/>
                <w:w w:val="50"/>
                <w:sz w:val="20"/>
                <w:lang w:val="pt-BR"/>
              </w:rPr>
              <w:t>-</w:t>
            </w:r>
            <w:r w:rsidRPr="00393C55">
              <w:rPr>
                <w:rFonts w:asciiTheme="minorHAnsi" w:hAnsiTheme="minorHAnsi"/>
                <w:w w:val="6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-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74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 xml:space="preserve">e 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>os diferentes níveis de ensino</w:t>
            </w:r>
          </w:p>
        </w:tc>
      </w:tr>
      <w:tr w:rsidR="00020EA1" w:rsidRPr="00AA1F64" w:rsidTr="00392039">
        <w:trPr>
          <w:trHeight w:hRule="exact" w:val="49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21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Fomentar projetos de pesquisa aplicados a problemas da sociedade e da universidade</w:t>
            </w:r>
          </w:p>
        </w:tc>
      </w:tr>
      <w:tr w:rsidR="00020EA1" w:rsidRPr="00AA1F64" w:rsidTr="00392039">
        <w:trPr>
          <w:trHeight w:hRule="exact" w:val="571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35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Instituir um processo de relacionamento e colaboração c/ os diversos setores da sociedade</w:t>
            </w:r>
          </w:p>
        </w:tc>
      </w:tr>
      <w:tr w:rsidR="00020EA1" w:rsidRPr="00AA1F64" w:rsidTr="00392039">
        <w:trPr>
          <w:trHeight w:hRule="exact" w:val="516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3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75" w:right="76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Aprendizado e Infraestrutura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uma infraestrutura de apoio qualificada e de acordo com as necessidades de cada área de conhecimento</w:t>
            </w:r>
          </w:p>
        </w:tc>
      </w:tr>
      <w:tr w:rsidR="00020EA1" w:rsidRPr="00AA1F64" w:rsidTr="00392039">
        <w:trPr>
          <w:trHeight w:hRule="exact" w:val="50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"/>
              <w:ind w:left="62" w:right="3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 cultura de inovação, compromisso social e integração entre ensino, pesquisa e extensão e entre as diferentes áreas de conhecimento</w:t>
            </w:r>
          </w:p>
        </w:tc>
      </w:tr>
      <w:tr w:rsidR="00020EA1" w:rsidRPr="00AA1F64" w:rsidTr="00392039">
        <w:trPr>
          <w:trHeight w:hRule="exact" w:val="57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41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desenvolvimento de um quadro docente com pesquisadores de excelência que sejam referência na área</w:t>
            </w:r>
          </w:p>
        </w:tc>
      </w:tr>
      <w:tr w:rsidR="00020EA1" w:rsidRPr="00AA1F64" w:rsidTr="00392039">
        <w:trPr>
          <w:trHeight w:hRule="exact" w:val="50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Equipar laboratórios de pesquisa de acordo com as necessidades de cada área e das necessidades multiusuário</w:t>
            </w:r>
          </w:p>
        </w:tc>
      </w:tr>
      <w:tr w:rsidR="00020EA1" w:rsidRPr="00AA1F64" w:rsidTr="00392039">
        <w:trPr>
          <w:trHeight w:hRule="exact" w:val="39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8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Expandir os ambientes de inovação</w:t>
            </w:r>
          </w:p>
        </w:tc>
      </w:tr>
      <w:tr w:rsidR="00020EA1" w:rsidRPr="00AA1F64" w:rsidTr="00392039">
        <w:trPr>
          <w:trHeight w:hRule="exact" w:val="50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CA8CBC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"/>
              <w:ind w:left="62" w:right="24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 sistema de seleção e progressão docente com critérios que equilibrem ensino, pesquisa, extensão e as particularidades das diferentes áreas e níveis de ensino</w:t>
            </w:r>
          </w:p>
        </w:tc>
      </w:tr>
      <w:tr w:rsidR="00020EA1" w:rsidRPr="00AA1F64" w:rsidTr="00392039">
        <w:trPr>
          <w:trHeight w:hRule="exact" w:val="798"/>
        </w:trPr>
        <w:tc>
          <w:tcPr>
            <w:tcW w:w="149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46"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75"/>
                <w:sz w:val="20"/>
              </w:rPr>
              <w:t>(SF)</w:t>
            </w:r>
          </w:p>
          <w:p w:rsidR="00020EA1" w:rsidRPr="00393C55" w:rsidRDefault="00020EA1" w:rsidP="00392039">
            <w:pPr>
              <w:pStyle w:val="TableParagraph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95"/>
                <w:sz w:val="20"/>
              </w:rPr>
              <w:t xml:space="preserve">Sustentabilidade </w:t>
            </w:r>
            <w:r w:rsidRPr="00393C55">
              <w:rPr>
                <w:rFonts w:asciiTheme="minorHAnsi" w:hAnsiTheme="minorHAnsi"/>
                <w:sz w:val="20"/>
              </w:rPr>
              <w:t>Financeira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23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Incrementar a captação de recursos extra-orçamentários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>Desafio 5 – Modernização e Desenvolvimento organizacional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428"/>
      </w:tblGrid>
      <w:tr w:rsidR="00020EA1" w:rsidRPr="00393C55" w:rsidTr="00392039">
        <w:trPr>
          <w:trHeight w:hRule="exact" w:val="355"/>
        </w:trPr>
        <w:tc>
          <w:tcPr>
            <w:tcW w:w="14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C115"/>
          </w:tcPr>
          <w:p w:rsidR="00020EA1" w:rsidRPr="00393C55" w:rsidRDefault="00020EA1" w:rsidP="00392039">
            <w:pPr>
              <w:pStyle w:val="TableParagraph"/>
              <w:spacing w:before="71"/>
              <w:ind w:left="324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428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F9C115"/>
          </w:tcPr>
          <w:p w:rsidR="00020EA1" w:rsidRPr="00393C55" w:rsidRDefault="00020EA1" w:rsidP="00392039">
            <w:pPr>
              <w:pStyle w:val="TableParagraph"/>
              <w:spacing w:before="71"/>
              <w:ind w:left="62" w:right="316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6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2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744"/>
        </w:trPr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20" w:line="224" w:lineRule="exact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1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políticas de governança, transparência e profissionalização da gestão</w:t>
            </w:r>
          </w:p>
        </w:tc>
      </w:tr>
      <w:tr w:rsidR="00020EA1" w:rsidRPr="00AA1F64" w:rsidTr="00392039">
        <w:trPr>
          <w:trHeight w:hRule="exact" w:val="497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3"/>
              <w:rPr>
                <w:rFonts w:asciiTheme="minorHAnsi" w:hAnsiTheme="minorHAnsi"/>
                <w:sz w:val="18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"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1" w:lineRule="exact"/>
              <w:ind w:left="75" w:right="75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ind w:left="62" w:right="12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Firmar relações de colaboração internacional para trocas culturais e desenvolvimento de políticas acadêmicas e de gestão</w:t>
            </w:r>
          </w:p>
        </w:tc>
      </w:tr>
      <w:tr w:rsidR="00020EA1" w:rsidRPr="00AA1F64" w:rsidTr="00392039">
        <w:trPr>
          <w:trHeight w:hRule="exact" w:val="643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1"/>
              <w:ind w:left="62" w:right="3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54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20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Adequar a estrutura administrativa com a estratégia de alocação e dimensionamento de pessoal</w:t>
            </w:r>
          </w:p>
        </w:tc>
      </w:tr>
      <w:tr w:rsidR="00020EA1" w:rsidRPr="00AA1F64" w:rsidTr="00392039">
        <w:trPr>
          <w:trHeight w:hRule="exact" w:val="574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57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eficiência do processo de comunicação institucional</w:t>
            </w:r>
          </w:p>
        </w:tc>
      </w:tr>
      <w:tr w:rsidR="00020EA1" w:rsidRPr="00AA1F64" w:rsidTr="00392039">
        <w:trPr>
          <w:trHeight w:hRule="exact" w:val="57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32" w:line="244" w:lineRule="exact"/>
              <w:ind w:left="62" w:right="24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v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er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-3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pacing w:val="4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3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as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b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h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o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qu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co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n</w:t>
            </w:r>
            <w:r w:rsidRPr="00393C55">
              <w:rPr>
                <w:rFonts w:asciiTheme="minorHAnsi" w:hAnsiTheme="minorHAnsi"/>
                <w:spacing w:val="-1"/>
                <w:w w:val="99"/>
                <w:sz w:val="20"/>
                <w:lang w:val="pt-BR"/>
              </w:rPr>
              <w:t>s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r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-2"/>
                <w:w w:val="99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spacing w:val="2"/>
                <w:w w:val="99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1"/>
                <w:w w:val="99"/>
                <w:sz w:val="20"/>
                <w:lang w:val="pt-BR"/>
              </w:rPr>
              <w:t>d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>e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spacing w:val="-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u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l</w:t>
            </w:r>
            <w:r w:rsidRPr="00393C55">
              <w:rPr>
                <w:rFonts w:asciiTheme="minorHAnsi" w:hAnsiTheme="minorHAnsi"/>
                <w:spacing w:val="1"/>
                <w:w w:val="55"/>
                <w:sz w:val="20"/>
                <w:lang w:val="pt-BR"/>
              </w:rPr>
              <w:t>t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2"/>
                <w:w w:val="50"/>
                <w:sz w:val="20"/>
                <w:lang w:val="pt-BR"/>
              </w:rPr>
              <w:t>-</w:t>
            </w:r>
            <w:r w:rsidRPr="00393C55">
              <w:rPr>
                <w:rFonts w:asciiTheme="minorHAnsi" w:hAnsiTheme="minorHAnsi"/>
                <w:w w:val="69"/>
                <w:sz w:val="20"/>
                <w:lang w:val="pt-BR"/>
              </w:rPr>
              <w:t>c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a</w:t>
            </w:r>
            <w:r w:rsidRPr="00393C55">
              <w:rPr>
                <w:rFonts w:asciiTheme="minorHAnsi" w:hAnsiTheme="minorHAnsi"/>
                <w:spacing w:val="-1"/>
                <w:w w:val="131"/>
                <w:sz w:val="20"/>
                <w:lang w:val="pt-BR"/>
              </w:rPr>
              <w:t>m</w:t>
            </w:r>
            <w:r w:rsidRPr="00393C55">
              <w:rPr>
                <w:rFonts w:asciiTheme="minorHAnsi" w:hAnsiTheme="minorHAnsi"/>
                <w:spacing w:val="1"/>
                <w:w w:val="85"/>
                <w:sz w:val="20"/>
                <w:lang w:val="pt-BR"/>
              </w:rPr>
              <w:t>p</w:t>
            </w:r>
            <w:r w:rsidRPr="00393C55">
              <w:rPr>
                <w:rFonts w:asciiTheme="minorHAnsi" w:hAnsiTheme="minorHAnsi"/>
                <w:w w:val="38"/>
                <w:sz w:val="20"/>
                <w:lang w:val="pt-BR"/>
              </w:rPr>
              <w:t>i</w:t>
            </w:r>
            <w:r w:rsidRPr="00393C55">
              <w:rPr>
                <w:rFonts w:asciiTheme="minorHAnsi" w:hAnsiTheme="minorHAnsi"/>
                <w:spacing w:val="-74"/>
                <w:sz w:val="20"/>
                <w:lang w:val="pt-BR"/>
              </w:rPr>
              <w:t xml:space="preserve"> </w:t>
            </w:r>
            <w:r w:rsidRPr="00393C55">
              <w:rPr>
                <w:rFonts w:asciiTheme="minorHAnsi" w:hAnsiTheme="minorHAnsi"/>
                <w:w w:val="99"/>
                <w:sz w:val="20"/>
                <w:lang w:val="pt-BR"/>
              </w:rPr>
              <w:t xml:space="preserve">e </w:t>
            </w:r>
            <w:r w:rsidRPr="00393C55">
              <w:rPr>
                <w:rFonts w:asciiTheme="minorHAnsi" w:hAnsiTheme="minorHAnsi"/>
                <w:sz w:val="20"/>
                <w:lang w:val="pt-BR"/>
              </w:rPr>
              <w:t>os diferentes níveis de ensino</w:t>
            </w:r>
          </w:p>
        </w:tc>
      </w:tr>
      <w:tr w:rsidR="00020EA1" w:rsidRPr="00AA1F64" w:rsidTr="00392039">
        <w:trPr>
          <w:trHeight w:hRule="exact" w:val="61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79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Fomentar projetos de pesquisa aplicados a problemas da sociedade e da universidade</w:t>
            </w:r>
          </w:p>
        </w:tc>
      </w:tr>
      <w:tr w:rsidR="00020EA1" w:rsidRPr="00AA1F64" w:rsidTr="00392039">
        <w:trPr>
          <w:trHeight w:hRule="exact" w:val="638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66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Instituir um processo de relacionamento e colaboração c/ os diversos setores da sociedade</w:t>
            </w:r>
          </w:p>
        </w:tc>
      </w:tr>
      <w:tr w:rsidR="00020EA1" w:rsidRPr="00AA1F64" w:rsidTr="00392039">
        <w:trPr>
          <w:trHeight w:hRule="exact" w:val="622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47" w:line="224" w:lineRule="exact"/>
              <w:ind w:left="75" w:right="76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Aprendizado e Infraestrutura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179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uma cultura de comprometimento organizacional</w:t>
            </w:r>
          </w:p>
        </w:tc>
      </w:tr>
      <w:tr w:rsidR="00020EA1" w:rsidRPr="00AA1F64" w:rsidTr="00392039">
        <w:trPr>
          <w:trHeight w:hRule="exact" w:val="62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1"/>
              <w:ind w:left="62" w:right="3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uma infraestrutura de engenharia e logística adequada, respeitando as premissas de acessibilidade e respeito ao meio-ambiente</w:t>
            </w:r>
          </w:p>
        </w:tc>
      </w:tr>
      <w:tr w:rsidR="00020EA1" w:rsidRPr="00AA1F64" w:rsidTr="00392039">
        <w:trPr>
          <w:trHeight w:hRule="exact" w:val="56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36"/>
              <w:ind w:left="62" w:right="3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as competências gerenciais, técnicas e de liderança necessárias para manter um nível de excelência</w:t>
            </w:r>
          </w:p>
        </w:tc>
      </w:tr>
      <w:tr w:rsidR="00020EA1" w:rsidRPr="00AA1F64" w:rsidTr="00392039">
        <w:trPr>
          <w:trHeight w:hRule="exact" w:val="50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Modernizar a infraestrutura de TI para suportar as necessidades acadêmicas e administrativas</w:t>
            </w:r>
          </w:p>
        </w:tc>
      </w:tr>
      <w:tr w:rsidR="00020EA1" w:rsidRPr="00AA1F64" w:rsidTr="00392039">
        <w:trPr>
          <w:trHeight w:hRule="exact" w:val="50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 sistema de seleção e progressão docente com critérios que equilibrem ensino, pesquisa, extensão e as particularidades das diferentes áreas e níveis de ensino</w:t>
            </w:r>
          </w:p>
        </w:tc>
      </w:tr>
      <w:tr w:rsidR="00020EA1" w:rsidRPr="00AA1F64" w:rsidTr="00392039">
        <w:trPr>
          <w:trHeight w:hRule="exact" w:val="660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3"/>
              <w:rPr>
                <w:rFonts w:asciiTheme="minorHAnsi" w:hAnsiTheme="minorHAnsi"/>
                <w:sz w:val="2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75"/>
                <w:sz w:val="20"/>
              </w:rPr>
              <w:t>(SF)</w:t>
            </w:r>
          </w:p>
          <w:p w:rsidR="00020EA1" w:rsidRPr="00393C55" w:rsidRDefault="00020EA1" w:rsidP="00392039">
            <w:pPr>
              <w:pStyle w:val="TableParagraph"/>
              <w:spacing w:line="237" w:lineRule="auto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95"/>
                <w:sz w:val="20"/>
              </w:rPr>
              <w:t xml:space="preserve">Sustentabilidade </w:t>
            </w:r>
            <w:r w:rsidRPr="00393C55">
              <w:rPr>
                <w:rFonts w:asciiTheme="minorHAnsi" w:hAnsiTheme="minorHAnsi"/>
                <w:sz w:val="20"/>
              </w:rPr>
              <w:t>Financeira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o orçamento recebido do Governo Federal</w:t>
            </w:r>
          </w:p>
        </w:tc>
      </w:tr>
      <w:tr w:rsidR="00020EA1" w:rsidRPr="00AA1F64" w:rsidTr="00392039">
        <w:trPr>
          <w:trHeight w:hRule="exact" w:val="56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lef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152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Incrementar a captação de recursos extra-orçamentários</w:t>
            </w:r>
          </w:p>
        </w:tc>
      </w:tr>
      <w:tr w:rsidR="00020EA1" w:rsidRPr="00AA1F64" w:rsidTr="00392039">
        <w:trPr>
          <w:trHeight w:hRule="exact" w:val="564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lef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28"/>
              <w:ind w:left="62" w:right="40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uma gestão orçamentária transparente, eficiente e alinhada à estratégia institucional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>Desafio 6 – Desenvolvimento local, regional e nacional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570"/>
      </w:tblGrid>
      <w:tr w:rsidR="00020EA1" w:rsidRPr="00393C55" w:rsidTr="00392039">
        <w:trPr>
          <w:trHeight w:hRule="exact" w:val="360"/>
        </w:trPr>
        <w:tc>
          <w:tcPr>
            <w:tcW w:w="149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9E69A8"/>
          </w:tcPr>
          <w:p w:rsidR="00020EA1" w:rsidRPr="00393C55" w:rsidRDefault="00020EA1" w:rsidP="00392039">
            <w:pPr>
              <w:pStyle w:val="TableParagraph"/>
              <w:spacing w:before="68"/>
              <w:ind w:left="324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570" w:type="dxa"/>
            <w:tcBorders>
              <w:left w:val="single" w:sz="5" w:space="0" w:color="000000"/>
            </w:tcBorders>
            <w:shd w:val="clear" w:color="auto" w:fill="9E69A8"/>
          </w:tcPr>
          <w:p w:rsidR="00020EA1" w:rsidRPr="00393C55" w:rsidRDefault="00020EA1" w:rsidP="00392039">
            <w:pPr>
              <w:pStyle w:val="TableParagraph"/>
              <w:spacing w:before="68"/>
              <w:ind w:left="62" w:right="458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6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spacing w:val="2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-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618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before="6"/>
              <w:rPr>
                <w:rFonts w:asciiTheme="minorHAnsi" w:hAnsiTheme="minorHAnsi"/>
                <w:sz w:val="21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5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52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Formar alunos com visão global e humanista, comprometidos com a sociedade, com o meio-ambiente e com o desenvolvimento científico e tecnológico</w:t>
            </w:r>
          </w:p>
        </w:tc>
      </w:tr>
      <w:tr w:rsidR="00020EA1" w:rsidRPr="00AA1F64" w:rsidTr="00392039">
        <w:trPr>
          <w:trHeight w:hRule="exact" w:val="644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0"/>
              <w:rPr>
                <w:rFonts w:asciiTheme="minorHAnsi" w:hAnsiTheme="minorHAnsi"/>
                <w:sz w:val="1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e inserir na sociedade tecnologias sociais e a produção artística e cultural</w:t>
            </w:r>
          </w:p>
        </w:tc>
      </w:tr>
      <w:tr w:rsidR="00020EA1" w:rsidRPr="00AA1F64" w:rsidTr="00392039">
        <w:trPr>
          <w:trHeight w:hRule="exact" w:val="64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68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projetos relacionados a políticas públicas nas áreas de saúde, educação, inclusão social, gestão ambiental e outras</w:t>
            </w:r>
          </w:p>
        </w:tc>
      </w:tr>
      <w:tr w:rsidR="00020EA1" w:rsidRPr="00AA1F64" w:rsidTr="00392039">
        <w:trPr>
          <w:trHeight w:hRule="exact" w:val="586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41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Oferecer serviços de apoio à comunidade em consonância com a política de inovação e de extensão universitária</w:t>
            </w:r>
          </w:p>
        </w:tc>
      </w:tr>
      <w:tr w:rsidR="00020EA1" w:rsidRPr="00AA1F64" w:rsidTr="00392039">
        <w:trPr>
          <w:trHeight w:hRule="exact" w:val="551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26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projetos de extensão com foco na intervenção, transformação e desenvolvimento da sociedade</w:t>
            </w:r>
          </w:p>
        </w:tc>
      </w:tr>
      <w:tr w:rsidR="00020EA1" w:rsidRPr="00AA1F64" w:rsidTr="00392039">
        <w:trPr>
          <w:trHeight w:hRule="exact" w:val="528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130"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1" w:lineRule="exact"/>
              <w:ind w:left="75" w:right="75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11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o aprendizado extraclasse, oportunizando atividades de extensão, inserção na sociedade, empreendedorismo, pesquisa e inovação</w:t>
            </w:r>
          </w:p>
        </w:tc>
      </w:tr>
      <w:tr w:rsidR="00020EA1" w:rsidRPr="00AA1F64" w:rsidTr="00392039">
        <w:trPr>
          <w:trHeight w:hRule="exact" w:val="643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68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currículos interdisciplinares, flexíveis e atualizados em relação às demandas da sociedade</w:t>
            </w:r>
          </w:p>
        </w:tc>
      </w:tr>
      <w:tr w:rsidR="00020EA1" w:rsidRPr="00393C55" w:rsidTr="00392039">
        <w:trPr>
          <w:trHeight w:hRule="exact" w:val="63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Implementar projetos interdisciplinares</w:t>
            </w:r>
          </w:p>
        </w:tc>
      </w:tr>
      <w:tr w:rsidR="00020EA1" w:rsidRPr="00AA1F64" w:rsidTr="00392039">
        <w:trPr>
          <w:trHeight w:hRule="exact" w:val="547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/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23"/>
              <w:ind w:left="62" w:right="20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Otimizar as rotinas administrativas e os sistemas de informação, primando pela agilidade, desburocratização, transparência e qualidade das informações e da gestão</w:t>
            </w:r>
          </w:p>
        </w:tc>
      </w:tr>
      <w:tr w:rsidR="00020EA1" w:rsidRPr="00AA1F64" w:rsidTr="00392039">
        <w:trPr>
          <w:trHeight w:hRule="exact" w:val="66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17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Aumentar a eficiência do processo de comunicação institucional</w:t>
            </w:r>
          </w:p>
        </w:tc>
      </w:tr>
      <w:tr w:rsidR="00020EA1" w:rsidRPr="00AA1F64" w:rsidTr="00392039">
        <w:trPr>
          <w:trHeight w:hRule="exact" w:val="57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40"/>
              <w:ind w:left="62" w:right="17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processos e rotinas de trabalho que considerem a realidade multi-campi e os diferentes níveis de ensino</w:t>
            </w:r>
          </w:p>
        </w:tc>
      </w:tr>
      <w:tr w:rsidR="00020EA1" w:rsidRPr="00AA1F64" w:rsidTr="00392039">
        <w:trPr>
          <w:trHeight w:hRule="exact" w:val="61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9"/>
              <w:rPr>
                <w:rFonts w:asciiTheme="minorHAnsi" w:hAnsiTheme="minorHAnsi"/>
                <w:sz w:val="15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Instituir um processo de relacionamento e colaboração c/ os diversos setores da sociedade</w:t>
            </w:r>
          </w:p>
        </w:tc>
      </w:tr>
      <w:tr w:rsidR="00020EA1" w:rsidRPr="00AA1F64" w:rsidTr="00392039">
        <w:trPr>
          <w:trHeight w:hRule="exact" w:val="638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68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Fomentar projetos de pesquisa, ensino e extensão aplicados a problemas da sociedade e da universidade</w:t>
            </w:r>
          </w:p>
        </w:tc>
      </w:tr>
      <w:tr w:rsidR="00020EA1" w:rsidRPr="00AA1F64" w:rsidTr="00392039">
        <w:trPr>
          <w:trHeight w:hRule="exact" w:val="62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5"/>
              <w:rPr>
                <w:rFonts w:asciiTheme="minorHAnsi" w:hAnsiTheme="minorHAnsi"/>
                <w:sz w:val="25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4" w:lineRule="exact"/>
              <w:ind w:left="75" w:right="76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Aprendizado e Infraestrutura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ind w:left="62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Fortalecer a cultura de inovação, compromisso social e integração entre ensino, pesquisa e extensão e entre as diferentes áreas de conhecimento</w:t>
            </w:r>
          </w:p>
        </w:tc>
      </w:tr>
      <w:tr w:rsidR="00020EA1" w:rsidRPr="00AA1F64" w:rsidTr="00392039">
        <w:trPr>
          <w:trHeight w:hRule="exact" w:val="57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"/>
              <w:ind w:left="62" w:right="9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Estimular o desenvolvimento de um quadro docente com pesquisadores de excelência que sejam referência na área</w:t>
            </w:r>
          </w:p>
        </w:tc>
      </w:tr>
      <w:tr w:rsidR="00020EA1" w:rsidRPr="00AA1F64" w:rsidTr="00392039">
        <w:trPr>
          <w:trHeight w:hRule="exact" w:val="508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6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uma infraestrutura de engenharia e logística adequada, respeitando as premissas de acessibilidade e respeito ao meio-ambiente</w:t>
            </w:r>
          </w:p>
        </w:tc>
      </w:tr>
      <w:tr w:rsidR="00020EA1" w:rsidRPr="00AA1F64" w:rsidTr="00392039">
        <w:trPr>
          <w:trHeight w:hRule="exact" w:val="50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CA8CBC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5"/>
              <w:ind w:left="62" w:right="151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um sistema de seleção e progressão docente com critérios que equilibrem ensino, pesquisa e extensão e as particularidades das diferentes áreas e níveis de ensino</w:t>
            </w:r>
          </w:p>
        </w:tc>
      </w:tr>
      <w:tr w:rsidR="00020EA1" w:rsidRPr="00AA1F64" w:rsidTr="00392039">
        <w:trPr>
          <w:trHeight w:hRule="exact" w:val="798"/>
        </w:trPr>
        <w:tc>
          <w:tcPr>
            <w:tcW w:w="149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45" w:line="224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75"/>
                <w:sz w:val="20"/>
              </w:rPr>
              <w:t>(SF)</w:t>
            </w:r>
          </w:p>
          <w:p w:rsidR="00020EA1" w:rsidRPr="00393C55" w:rsidRDefault="00020EA1" w:rsidP="00392039">
            <w:pPr>
              <w:pStyle w:val="TableParagraph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95"/>
                <w:sz w:val="20"/>
              </w:rPr>
              <w:t xml:space="preserve">Sustentabilidade </w:t>
            </w:r>
            <w:r w:rsidRPr="00393C55">
              <w:rPr>
                <w:rFonts w:asciiTheme="minorHAnsi" w:hAnsiTheme="minorHAnsi"/>
                <w:sz w:val="20"/>
              </w:rPr>
              <w:t>Financeira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</w:tcBorders>
            <w:shd w:val="clear" w:color="auto" w:fill="CA8CBC"/>
          </w:tcPr>
          <w:p w:rsidR="00020EA1" w:rsidRPr="00393C55" w:rsidRDefault="00020EA1" w:rsidP="00392039">
            <w:pPr>
              <w:pStyle w:val="TableParagraph"/>
              <w:spacing w:before="7"/>
              <w:rPr>
                <w:rFonts w:asciiTheme="minorHAnsi" w:hAnsiTheme="minorHAnsi"/>
                <w:sz w:val="23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458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Incrementar a captação de recursos extra-orçamentários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393C55" w:rsidRDefault="00020EA1" w:rsidP="00020EA1">
      <w:pPr>
        <w:pStyle w:val="Corpodetexto"/>
        <w:tabs>
          <w:tab w:val="left" w:pos="2225"/>
        </w:tabs>
        <w:rPr>
          <w:rFonts w:asciiTheme="minorHAnsi" w:hAnsiTheme="minorHAnsi"/>
          <w:sz w:val="28"/>
          <w:szCs w:val="28"/>
          <w:lang w:val="pt-BR"/>
        </w:rPr>
      </w:pPr>
      <w:r w:rsidRPr="00393C55">
        <w:rPr>
          <w:rFonts w:asciiTheme="minorHAnsi" w:hAnsiTheme="minorHAnsi"/>
          <w:sz w:val="28"/>
          <w:szCs w:val="28"/>
          <w:lang w:val="pt-BR"/>
        </w:rPr>
        <w:lastRenderedPageBreak/>
        <w:t>Desafio 7 – Gestão Ambiental</w:t>
      </w:r>
    </w:p>
    <w:tbl>
      <w:tblPr>
        <w:tblStyle w:val="TableNormal"/>
        <w:tblW w:w="0" w:type="auto"/>
        <w:tblInd w:w="10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428"/>
      </w:tblGrid>
      <w:tr w:rsidR="00020EA1" w:rsidRPr="00393C55" w:rsidTr="00392039">
        <w:trPr>
          <w:trHeight w:hRule="exact" w:val="360"/>
        </w:trPr>
        <w:tc>
          <w:tcPr>
            <w:tcW w:w="149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95483"/>
          </w:tcPr>
          <w:p w:rsidR="00020EA1" w:rsidRPr="00393C55" w:rsidRDefault="00020EA1" w:rsidP="00392039">
            <w:pPr>
              <w:pStyle w:val="TableParagraph"/>
              <w:spacing w:before="71"/>
              <w:ind w:left="324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104"/>
                <w:sz w:val="20"/>
              </w:rPr>
              <w:t>D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1"/>
                <w:w w:val="134"/>
                <w:sz w:val="20"/>
              </w:rPr>
              <w:t>m</w:t>
            </w:r>
            <w:r w:rsidRPr="00393C55">
              <w:rPr>
                <w:rFonts w:asciiTheme="minorHAnsi" w:hAnsiTheme="minorHAnsi"/>
                <w:spacing w:val="-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88"/>
                <w:sz w:val="20"/>
              </w:rPr>
              <w:t>n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ã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  <w:tc>
          <w:tcPr>
            <w:tcW w:w="7428" w:type="dxa"/>
            <w:tcBorders>
              <w:left w:val="single" w:sz="5" w:space="0" w:color="000000"/>
            </w:tcBorders>
            <w:shd w:val="clear" w:color="auto" w:fill="E95483"/>
          </w:tcPr>
          <w:p w:rsidR="00020EA1" w:rsidRPr="00393C55" w:rsidRDefault="00020EA1" w:rsidP="00392039">
            <w:pPr>
              <w:pStyle w:val="TableParagraph"/>
              <w:spacing w:before="71"/>
              <w:ind w:left="62" w:right="316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2"/>
                <w:w w:val="112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2"/>
                <w:w w:val="88"/>
                <w:sz w:val="20"/>
              </w:rPr>
              <w:t>b</w:t>
            </w:r>
            <w:r w:rsidRPr="00393C55">
              <w:rPr>
                <w:rFonts w:asciiTheme="minorHAnsi" w:hAnsiTheme="minorHAnsi"/>
                <w:spacing w:val="-1"/>
                <w:w w:val="42"/>
                <w:sz w:val="20"/>
              </w:rPr>
              <w:t>j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e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1"/>
                <w:w w:val="78"/>
                <w:sz w:val="20"/>
              </w:rPr>
              <w:t>v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  <w:r w:rsidRPr="00393C55">
              <w:rPr>
                <w:rFonts w:asciiTheme="minorHAnsi" w:hAnsiTheme="minorHAnsi"/>
                <w:spacing w:val="-74"/>
                <w:sz w:val="20"/>
              </w:rPr>
              <w:t xml:space="preserve"> </w:t>
            </w:r>
            <w:r w:rsidRPr="00393C55">
              <w:rPr>
                <w:rFonts w:asciiTheme="minorHAnsi" w:hAnsiTheme="minorHAnsi"/>
                <w:w w:val="80"/>
                <w:sz w:val="20"/>
              </w:rPr>
              <w:t>E</w:t>
            </w:r>
            <w:r w:rsidRPr="00393C55">
              <w:rPr>
                <w:rFonts w:asciiTheme="minorHAnsi" w:hAnsiTheme="minorHAnsi"/>
                <w:w w:val="66"/>
                <w:sz w:val="20"/>
              </w:rPr>
              <w:t>s</w:t>
            </w:r>
            <w:r w:rsidRPr="00393C55">
              <w:rPr>
                <w:rFonts w:asciiTheme="minorHAnsi" w:hAnsiTheme="minorHAnsi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58"/>
                <w:sz w:val="20"/>
              </w:rPr>
              <w:t>r</w:t>
            </w:r>
            <w:r w:rsidRPr="00393C55">
              <w:rPr>
                <w:rFonts w:asciiTheme="minorHAnsi" w:hAnsiTheme="minorHAnsi"/>
                <w:spacing w:val="1"/>
                <w:w w:val="8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4"/>
                <w:w w:val="57"/>
                <w:sz w:val="20"/>
              </w:rPr>
              <w:t>t</w:t>
            </w:r>
            <w:r w:rsidRPr="00393C55">
              <w:rPr>
                <w:rFonts w:asciiTheme="minorHAnsi" w:hAnsiTheme="minorHAnsi"/>
                <w:spacing w:val="1"/>
                <w:w w:val="83"/>
                <w:sz w:val="20"/>
              </w:rPr>
              <w:t>é</w:t>
            </w:r>
            <w:r w:rsidRPr="00393C55">
              <w:rPr>
                <w:rFonts w:asciiTheme="minorHAnsi" w:hAnsiTheme="minorHAnsi"/>
                <w:spacing w:val="1"/>
                <w:w w:val="78"/>
                <w:sz w:val="20"/>
              </w:rPr>
              <w:t>g</w:t>
            </w:r>
            <w:r w:rsidRPr="00393C55">
              <w:rPr>
                <w:rFonts w:asciiTheme="minorHAnsi" w:hAnsiTheme="minorHAnsi"/>
                <w:spacing w:val="-1"/>
                <w:w w:val="40"/>
                <w:sz w:val="20"/>
              </w:rPr>
              <w:t>i</w:t>
            </w:r>
            <w:r w:rsidRPr="00393C55">
              <w:rPr>
                <w:rFonts w:asciiTheme="minorHAnsi" w:hAnsiTheme="minorHAnsi"/>
                <w:spacing w:val="-2"/>
                <w:w w:val="69"/>
                <w:sz w:val="20"/>
              </w:rPr>
              <w:t>c</w:t>
            </w:r>
            <w:r w:rsidRPr="00393C55">
              <w:rPr>
                <w:rFonts w:asciiTheme="minorHAnsi" w:hAnsiTheme="minorHAnsi"/>
                <w:w w:val="89"/>
                <w:sz w:val="20"/>
              </w:rPr>
              <w:t>o</w:t>
            </w:r>
          </w:p>
        </w:tc>
      </w:tr>
      <w:tr w:rsidR="00020EA1" w:rsidRPr="00AA1F64" w:rsidTr="00392039">
        <w:trPr>
          <w:trHeight w:hRule="exact" w:val="620"/>
        </w:trPr>
        <w:tc>
          <w:tcPr>
            <w:tcW w:w="149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"/>
              <w:rPr>
                <w:rFonts w:asciiTheme="minorHAnsi" w:hAnsiTheme="minorHAnsi"/>
                <w:sz w:val="20"/>
              </w:rPr>
            </w:pPr>
          </w:p>
          <w:p w:rsidR="00020EA1" w:rsidRPr="00393C55" w:rsidRDefault="00020EA1" w:rsidP="00392039">
            <w:pPr>
              <w:pStyle w:val="TableParagraph"/>
              <w:spacing w:before="1" w:line="224" w:lineRule="exact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(AS)</w:t>
            </w:r>
          </w:p>
          <w:p w:rsidR="00020EA1" w:rsidRPr="00393C55" w:rsidRDefault="00020EA1" w:rsidP="00392039">
            <w:pPr>
              <w:pStyle w:val="TableParagraph"/>
              <w:ind w:left="75" w:right="80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 xml:space="preserve">Alunos e </w:t>
            </w:r>
            <w:r w:rsidRPr="00393C55">
              <w:rPr>
                <w:rFonts w:asciiTheme="minorHAnsi" w:hAnsiTheme="minorHAnsi"/>
                <w:w w:val="95"/>
                <w:sz w:val="20"/>
              </w:rPr>
              <w:t>Sociedade</w:t>
            </w:r>
          </w:p>
        </w:tc>
        <w:tc>
          <w:tcPr>
            <w:tcW w:w="7428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54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Formar alunos com visão global e humanista, comprometidos com a sociedade, com o meio-ambiente e com o desenvolvimento científico e tecnológico</w:t>
            </w:r>
          </w:p>
        </w:tc>
      </w:tr>
      <w:tr w:rsidR="00020EA1" w:rsidRPr="00AA1F64" w:rsidTr="00392039">
        <w:trPr>
          <w:trHeight w:hRule="exact" w:val="548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EFDB79"/>
          </w:tcPr>
          <w:p w:rsidR="00020EA1" w:rsidRPr="00393C55" w:rsidRDefault="00020EA1" w:rsidP="00392039">
            <w:pPr>
              <w:pStyle w:val="TableParagraph"/>
              <w:spacing w:before="146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Implantar um sistema de gestão ambiental</w:t>
            </w:r>
          </w:p>
        </w:tc>
      </w:tr>
      <w:tr w:rsidR="00020EA1" w:rsidRPr="00AA1F64" w:rsidTr="00392039">
        <w:trPr>
          <w:trHeight w:hRule="exact" w:val="629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rPr>
                <w:rFonts w:asciiTheme="minorHAnsi" w:hAnsiTheme="minorHAnsi"/>
                <w:sz w:val="20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before="3"/>
              <w:rPr>
                <w:rFonts w:asciiTheme="minorHAnsi" w:hAnsiTheme="minorHAnsi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75" w:right="78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w w:val="80"/>
                <w:sz w:val="20"/>
              </w:rPr>
              <w:t>(PR)</w:t>
            </w:r>
          </w:p>
          <w:p w:rsidR="00020EA1" w:rsidRPr="00393C55" w:rsidRDefault="00020EA1" w:rsidP="00392039">
            <w:pPr>
              <w:pStyle w:val="TableParagraph"/>
              <w:spacing w:line="240" w:lineRule="exact"/>
              <w:ind w:left="75" w:right="75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Processos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61"/>
              <w:ind w:left="62" w:right="263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Desenvolver processos e rotinas de trabalho que considerem a realidade multi-campi e os diferentes níveis de ensino</w:t>
            </w:r>
          </w:p>
        </w:tc>
      </w:tr>
      <w:tr w:rsidR="00020EA1" w:rsidRPr="00AA1F64" w:rsidTr="00392039">
        <w:trPr>
          <w:trHeight w:hRule="exact" w:val="619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56"/>
              <w:ind w:left="62" w:right="129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Fomentar projetos de pesquisa, ensino e extensão aplicados a problemas da sociedade e da universidade</w:t>
            </w:r>
          </w:p>
        </w:tc>
      </w:tr>
      <w:tr w:rsidR="00020EA1" w:rsidRPr="00AA1F64" w:rsidTr="00392039">
        <w:trPr>
          <w:trHeight w:hRule="exact" w:val="638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C3D87C"/>
          </w:tcPr>
          <w:p w:rsidR="00020EA1" w:rsidRPr="00393C55" w:rsidRDefault="00020EA1" w:rsidP="00392039">
            <w:pPr>
              <w:pStyle w:val="TableParagraph"/>
              <w:spacing w:before="4"/>
              <w:rPr>
                <w:rFonts w:asciiTheme="minorHAnsi" w:hAnsiTheme="minorHAnsi"/>
                <w:sz w:val="16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ind w:left="62" w:right="316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Manter processos e rotinas que valorizem os diferentes aspectos da gestão ambiental</w:t>
            </w:r>
          </w:p>
        </w:tc>
      </w:tr>
      <w:tr w:rsidR="00020EA1" w:rsidRPr="00AA1F64" w:rsidTr="00392039">
        <w:trPr>
          <w:trHeight w:hRule="exact" w:val="622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4"/>
              <w:rPr>
                <w:rFonts w:asciiTheme="minorHAnsi" w:hAnsiTheme="minorHAnsi"/>
                <w:sz w:val="25"/>
                <w:lang w:val="pt-BR"/>
              </w:rPr>
            </w:pPr>
          </w:p>
          <w:p w:rsidR="00020EA1" w:rsidRPr="00393C55" w:rsidRDefault="00020EA1" w:rsidP="00392039">
            <w:pPr>
              <w:pStyle w:val="TableParagraph"/>
              <w:spacing w:line="223" w:lineRule="exact"/>
              <w:ind w:left="75" w:right="76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pacing w:val="-1"/>
                <w:w w:val="51"/>
                <w:sz w:val="20"/>
              </w:rPr>
              <w:t>(</w:t>
            </w:r>
            <w:r w:rsidRPr="00393C55">
              <w:rPr>
                <w:rFonts w:asciiTheme="minorHAnsi" w:hAnsiTheme="minorHAnsi"/>
                <w:spacing w:val="1"/>
                <w:sz w:val="20"/>
              </w:rPr>
              <w:t>A</w:t>
            </w:r>
            <w:r w:rsidRPr="00393C55">
              <w:rPr>
                <w:rFonts w:asciiTheme="minorHAnsi" w:hAnsiTheme="minorHAnsi"/>
                <w:spacing w:val="-2"/>
                <w:w w:val="44"/>
                <w:sz w:val="20"/>
              </w:rPr>
              <w:t>I</w:t>
            </w:r>
            <w:r w:rsidRPr="00393C55">
              <w:rPr>
                <w:rFonts w:asciiTheme="minorHAnsi" w:hAnsiTheme="minorHAnsi"/>
                <w:w w:val="51"/>
                <w:sz w:val="20"/>
              </w:rPr>
              <w:t>)</w:t>
            </w:r>
          </w:p>
          <w:p w:rsidR="00020EA1" w:rsidRPr="00393C55" w:rsidRDefault="00020EA1" w:rsidP="00392039">
            <w:pPr>
              <w:pStyle w:val="TableParagraph"/>
              <w:ind w:left="75" w:right="77"/>
              <w:jc w:val="center"/>
              <w:rPr>
                <w:rFonts w:asciiTheme="minorHAnsi" w:hAnsiTheme="minorHAnsi"/>
                <w:sz w:val="20"/>
              </w:rPr>
            </w:pPr>
            <w:r w:rsidRPr="00393C55">
              <w:rPr>
                <w:rFonts w:asciiTheme="minorHAnsi" w:hAnsiTheme="minorHAnsi"/>
                <w:sz w:val="20"/>
              </w:rPr>
              <w:t>Aprendizado e Infraestrutura</w:t>
            </w: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line="241" w:lineRule="exact"/>
              <w:ind w:left="62" w:right="120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Disseminar uma cultura ética em relação à inclusão, à diversidade e ao meio-ambiente</w:t>
            </w:r>
          </w:p>
        </w:tc>
      </w:tr>
      <w:tr w:rsidR="00020EA1" w:rsidRPr="00AA1F64" w:rsidTr="00392039">
        <w:trPr>
          <w:trHeight w:hRule="exact" w:val="66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rPr>
                <w:lang w:val="pt-BR"/>
              </w:rPr>
            </w:pPr>
          </w:p>
        </w:tc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9AD1C6"/>
          </w:tcPr>
          <w:p w:rsidR="00020EA1" w:rsidRPr="00393C55" w:rsidRDefault="00020EA1" w:rsidP="00392039">
            <w:pPr>
              <w:pStyle w:val="TableParagraph"/>
              <w:spacing w:before="4"/>
              <w:ind w:left="62" w:right="95"/>
              <w:rPr>
                <w:rFonts w:asciiTheme="minorHAnsi" w:hAnsiTheme="minorHAnsi"/>
                <w:sz w:val="20"/>
                <w:lang w:val="pt-BR"/>
              </w:rPr>
            </w:pPr>
            <w:r w:rsidRPr="00393C55">
              <w:rPr>
                <w:rFonts w:asciiTheme="minorHAnsi" w:hAnsiTheme="minorHAnsi"/>
                <w:sz w:val="20"/>
                <w:lang w:val="pt-BR"/>
              </w:rPr>
              <w:t>Possuir uma infraestrutura de engenharia e logística adequada, respeitando as premissas de acessibilidade e respeito ao meio-ambiente</w:t>
            </w:r>
          </w:p>
        </w:tc>
      </w:tr>
    </w:tbl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p w:rsidR="00020EA1" w:rsidRPr="00020EA1" w:rsidRDefault="00020EA1" w:rsidP="00020EA1">
      <w:pPr>
        <w:jc w:val="both"/>
        <w:rPr>
          <w:rFonts w:ascii="Arial" w:hAnsi="Arial" w:cs="Arial"/>
          <w:sz w:val="24"/>
          <w:szCs w:val="24"/>
        </w:rPr>
      </w:pPr>
    </w:p>
    <w:sectPr w:rsidR="00020EA1" w:rsidRPr="00020EA1" w:rsidSect="00020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53" w:rsidRDefault="004B1353" w:rsidP="00020EA1">
      <w:pPr>
        <w:spacing w:after="0" w:line="240" w:lineRule="auto"/>
      </w:pPr>
      <w:r>
        <w:separator/>
      </w:r>
    </w:p>
  </w:endnote>
  <w:endnote w:type="continuationSeparator" w:id="0">
    <w:p w:rsidR="004B1353" w:rsidRDefault="004B1353" w:rsidP="0002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53" w:rsidRDefault="004B1353" w:rsidP="00020EA1">
      <w:pPr>
        <w:spacing w:after="0" w:line="240" w:lineRule="auto"/>
      </w:pPr>
      <w:r>
        <w:separator/>
      </w:r>
    </w:p>
  </w:footnote>
  <w:footnote w:type="continuationSeparator" w:id="0">
    <w:p w:rsidR="004B1353" w:rsidRDefault="004B1353" w:rsidP="0002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A1"/>
    <w:rsid w:val="00020EA1"/>
    <w:rsid w:val="0033714E"/>
    <w:rsid w:val="004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2958"/>
  <w15:chartTrackingRefBased/>
  <w15:docId w15:val="{692C131E-2AB7-4D84-9BC7-C304AD9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0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0E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20EA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20EA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20EA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2017-05-08T17:36:00Z</dcterms:created>
  <dcterms:modified xsi:type="dcterms:W3CDTF">2017-05-08T17:45:00Z</dcterms:modified>
</cp:coreProperties>
</file>