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6.png" ContentType="image/png"/>
  <Override PartName="/word/media/image5.wmf" ContentType="image/x-wmf"/>
  <Override PartName="/word/media/image1.gif" ContentType="image/gif"/>
  <Override PartName="/word/media/image9.wmf" ContentType="image/x-wmf"/>
  <Override PartName="/word/media/image13.wmf" ContentType="image/x-wmf"/>
  <Override PartName="/word/media/image2.png" ContentType="image/png"/>
  <Override PartName="/word/media/image3.png" ContentType="image/png"/>
  <Override PartName="/word/media/image4.png" ContentType="image/png"/>
  <Override PartName="/word/media/image7.png" ContentType="image/png"/>
  <Override PartName="/word/media/image8.wmf" ContentType="image/x-wmf"/>
  <Override PartName="/word/media/image10.png" ContentType="image/png"/>
  <Override PartName="/word/media/image11.png" ContentType="image/png"/>
  <Override PartName="/word/media/image12.wmf" ContentType="image/x-wmf"/>
  <Override PartName="/word/media/image14.png" ContentType="image/png"/>
  <Override PartName="/word/media/image15.png" ContentType="image/png"/>
  <Override PartName="/word/media/image16.emf" ContentType="image/x-emf"/>
  <Override PartName="/word/media/image17.emf" ContentType="image/x-emf"/>
  <Override PartName="/word/media/image18.emf" ContentType="image/x-emf"/>
  <Override PartName="/word/theme/theme1.xml" ContentType="application/vnd.openxmlformats-officedocument.theme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40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003"/>
        <w:gridCol w:w="600"/>
        <w:gridCol w:w="52"/>
        <w:gridCol w:w="6744"/>
      </w:tblGrid>
      <w:tr>
        <w:trPr/>
        <w:tc>
          <w:tcPr>
            <w:tcW w:w="4003" w:type="dxa"/>
            <w:tcBorders/>
            <w:shd w:color="auto" w:fill="FFFFFF" w:val="clear"/>
            <w:vAlign w:val="center"/>
          </w:tcPr>
          <w:tbl>
            <w:tblPr>
              <w:tblW w:w="4004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4004"/>
            </w:tblGrid>
            <w:tr>
              <w:trPr/>
              <w:tc>
                <w:tcPr>
                  <w:tcW w:w="4004" w:type="dxa"/>
                  <w:tcBorders/>
                  <w:shd w:color="auto" w:fill="FFFFFF" w:val="clear"/>
                  <w:vAlign w:val="center"/>
                </w:tcPr>
                <w:p>
                  <w:pPr>
                    <w:pStyle w:val="Ttulo3"/>
                    <w:spacing w:before="0" w:after="0"/>
                    <w:rPr>
                      <w:b/>
                      <w:b/>
                      <w:color w:val="202124"/>
                    </w:rPr>
                  </w:pPr>
                  <w:r>
                    <w:rPr>
                      <w:b/>
                      <w:color w:val="202124"/>
                    </w:rPr>
                  </w:r>
                </w:p>
              </w:tc>
            </w:tr>
          </w:tbl>
          <w:p>
            <w:pPr>
              <w:pStyle w:val="Contedodatabela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00" w:type="dxa"/>
            <w:tcBorders/>
            <w:shd w:color="auto" w:fill="FFFFFF" w:val="clear"/>
            <w:vAlign w:val="center"/>
          </w:tcPr>
          <w:p>
            <w:pPr>
              <w:pStyle w:val="Contedodatabela"/>
              <w:spacing w:before="0" w:after="0"/>
              <w:jc w:val="right"/>
              <w:rPr>
                <w:rFonts w:ascii="Roboto;RobotoDraft;Helvetica;Ar" w:hAnsi="Roboto;RobotoDraft;Helvetica;Ar" w:eastAsia="Roboto;RobotoDraft;Helvetica;Ar" w:cs="Roboto;RobotoDraft;Helvetica;Ar"/>
                <w:color w:val="222222"/>
              </w:rPr>
            </w:pPr>
            <w:r>
              <w:rPr>
                <w:rFonts w:eastAsia="Roboto;RobotoDraft;Helvetica;Ar" w:cs="Roboto;RobotoDraft;Helvetica;Ar" w:ascii="Roboto;RobotoDraft;Helvetica;Ar" w:hAnsi="Roboto;RobotoDraft;Helvetica;Ar"/>
                <w:color w:val="222222"/>
              </w:rPr>
            </w:r>
          </w:p>
        </w:tc>
        <w:tc>
          <w:tcPr>
            <w:tcW w:w="52" w:type="dxa"/>
            <w:tcBorders/>
            <w:shd w:color="auto" w:fill="FFFFFF" w:val="clear"/>
            <w:vAlign w:val="center"/>
          </w:tcPr>
          <w:p>
            <w:pPr>
              <w:pStyle w:val="Contedodatabela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744" w:type="dxa"/>
            <w:vMerge w:val="restart"/>
            <w:tcBorders/>
            <w:shd w:color="auto" w:fill="FFFFFF" w:val="clear"/>
            <w:vAlign w:val="center"/>
          </w:tcPr>
          <w:tbl>
            <w:tblPr>
              <w:tblW w:w="6670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6670"/>
            </w:tblGrid>
            <w:tr>
              <w:trPr/>
              <w:tc>
                <w:tcPr>
                  <w:tcW w:w="6670" w:type="dxa"/>
                  <w:tcBorders/>
                  <w:shd w:color="auto" w:fill="FFFFFF" w:val="clear"/>
                  <w:vAlign w:val="center"/>
                </w:tcPr>
                <w:p>
                  <w:pPr>
                    <w:pStyle w:val="Contedodatabela"/>
                    <w:spacing w:lineRule="auto" w:line="259" w:before="0" w:after="0"/>
                    <w:ind w:left="60" w:hanging="0"/>
                    <w:rPr/>
                  </w:pPr>
                  <w:bookmarkStart w:id="0" w:name=":2uv"/>
                  <w:bookmarkEnd w:id="0"/>
                  <w:r>
                    <w:rPr/>
                    <w:drawing>
                      <wp:inline distT="0" distB="0" distL="0" distR="0">
                        <wp:extent cx="190500" cy="190500"/>
                        <wp:effectExtent l="0" t="0" r="0" b="0"/>
                        <wp:docPr id="1" name="Figura3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Figura3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Contedodatabela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55" w:type="dxa"/>
            <w:gridSpan w:val="3"/>
            <w:tcBorders/>
            <w:shd w:color="auto" w:fill="FFFFFF" w:val="clear"/>
            <w:vAlign w:val="center"/>
          </w:tcPr>
          <w:p>
            <w:pPr>
              <w:pStyle w:val="Contedodatabela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744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MINISTÉRIO DA EDUCAÇÃO</w:t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UNIVERSIDADE FEDERAL DE SANTA MARIA – UFSM</w:t>
      </w:r>
    </w:p>
    <w:p>
      <w:pPr>
        <w:pStyle w:val="Normal"/>
        <w:tabs>
          <w:tab w:val="left" w:pos="7140" w:leader="none"/>
        </w:tabs>
        <w:spacing w:before="0" w:after="0"/>
        <w:rPr/>
      </w:pPr>
      <w:r>
        <w:rPr>
          <w:rFonts w:ascii="Arial" w:hAnsi="Arial"/>
          <w:sz w:val="28"/>
          <w:szCs w:val="28"/>
        </w:rPr>
        <w:t>CENTRO DE EDUCAÇÃO FÍSICA E DESPORTOS - CEFD</w:t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7140" w:leader="none"/>
        </w:tabs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PLANO DE DESENVOLVIMENTO DA UNIDADE 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8"/>
          <w:szCs w:val="28"/>
        </w:rPr>
        <w:t>(PDU/CEFD)</w:t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APRESENTAÇÃO</w:t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O Plano de Desenvolvimento da Unidade do Centro de Educação Física e Desportos (PDU/CEFD 2019-2029) formaliza os esforços de docentes, técnicos administrativos e discentes de Graduação e de Pós-graduação em planejar o futuro da Unidade de ensino. Este Plano é um documento o qual compromete-se com a sua comunidade acadêmica, a Universidade e a sociedade em geral.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ab/>
        <w:t>O início do processo de construção se deu na gestão 2014-2018 do CEFD, Professor Luiz Osório Cruz Portela e Professora. Maria Amélia Roth, onde vários grupos de trabalho dividiram as tarefas de acordo com a ferramenta SWOT/FOFA. Na época os referidos grupos definiram objetivos gerais e iniciaram o processo de delineamento de ações e estratégias. Em 2015 o trabalho de construção do Plano de Desenvolvimento da Unidade do CEFD não teve continuidade.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ab/>
        <w:t>No ano de 2019, a gestão seguinte, Prof. Rosalvo Sawitzki e Professor Gustavo de Oliveira Duarte, retomaram  o processo de construção do PDU. O material já iniciado foi retomado e uma Comissão, com representantes de toda a comunidade acadêmica,  foi constituída para dar seguimento à elaboração do mesmo. Ao Conselho do Centro ficou reservado o papel de aprovar as etapas de trabalho apresentadas pela comissão, além de acompanhar e auxiliar na elaboração do processo.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ab/>
        <w:t xml:space="preserve">A retomada de trabalho se deu a partir de uma reunião com representantes da Pró-Reitoria de Planejamento às chefias do CEFD, no sentido de destacar a importância da finalização do documento, de apresentar caminhos metodológicos e de servir de estrutura de apoio e de assessoramento no decorrer do processo. A Comissão do CEFD deliberou seguir a proposta do PDI da UFSM, mantendo os mesmos desafios institucionais, sendo eles: </w:t>
      </w:r>
      <w:bookmarkStart w:id="1" w:name="__DdeLink__1737_1517591345"/>
      <w:r>
        <w:rPr>
          <w:rFonts w:ascii="Arial" w:hAnsi="Arial"/>
          <w:sz w:val="24"/>
          <w:szCs w:val="24"/>
        </w:rPr>
        <w:t xml:space="preserve">1) </w:t>
      </w:r>
      <w:bookmarkEnd w:id="1"/>
      <w:r>
        <w:rPr>
          <w:rFonts w:ascii="Arial" w:hAnsi="Arial"/>
          <w:sz w:val="24"/>
          <w:szCs w:val="24"/>
        </w:rPr>
        <w:t>Internacionalização; 2) Educação inovadora e transformadora com excelência acadêmica; 3) Inclusão social; 4) Inovação, geração de conhecimento e transferência de tecnologia; 5) Modernização e desenvolvimento organizacional; 6) Desenvolvimento local, regional e nacional e 7) Gestão ambiental.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INTRODUÇÃO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ab/>
        <w:t>O Centro de Educação Física e Desportos (CEFD) da Universidade Federal de Santa Maria foi criado em 1970 com a graduação em Educação Física. À época a duração do Curso era de três anos. Atualmente, o Centro de Educação Física é composto por dois Cursos de graduação em Educação Física, Licenciatura e Bacharelado, um curso de Graduação em Dança, Licenciatura, um curso de Especialização em Educação Física Escolar e dois Cursos de Mestrado Acadêmico: em Educação Física e em Gerontologia.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Desde sua criação, o CEFD é composto por três Departamentos: Departamento de Desportos Individuais (DDI); Departamento de Desportos Coletivos (DDC) e Departamento de Métodos e Técnicas Desportivas (DMTD).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Os Cursos que compõe do CEFD apresentam uma forte relação com a docência e com a formação de Professores, bem como com a promoção e prevenção da Saúde e da qualidade de vida, atuando desde a primeira infância até a fase da velhice.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Além dos cursos de graduação e de pós-graduação, o CEFD conta com diferentes laboratórios que visam articular e aprofundar as relações entre Ensino, Pesquisa e Extensão. A infraestrutura do CEFD contempla, além do prédio principal, o Complexo Didático e Artístico (CDA), três ginásios didáticos, piscina térmica, quadras poliesportivas e pista de atletismo.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Figura 1 - Estrutura organizacional do Centro de Educação Física e Desportos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/>
        <w:drawing>
          <wp:inline distT="0" distB="0" distL="0" distR="0">
            <wp:extent cx="6242685" cy="3316605"/>
            <wp:effectExtent l="0" t="0" r="0" b="0"/>
            <wp:docPr id="2" name="Diagram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grama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-26533" r="0" b="-29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1. METAS E INDICADORES DO PLANO DE DESENVOLVIMENTO INSTITUCIONAL (PDI) da UFSM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Durante o processo de elaboração do PDU, a comissão responsável, a Direção do Centro e a Pró-reitoria de Planejamento estiveram preocupadas em manter um alinhamento entre metas e indicadores gerais do PDI para o PDU. São propostas que visam qualificar os cursos de graduação e de pós-graduação da Universidade e a gestão da Universidade, levando em consideração os parâmetros de avaliação do Ministério da Educação.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Figura 2 apresenta o plano de Metas da UFSM para 2021, destacando os indicadores selecionados, a atual situação da Universidade e as metas a serem alcançadas até o ano de 2021. As metas traçadas levam em consideração o Desafio 2: Educação Inovadora e transformadora com excelência acadêmica, o Desafio 4: Inovação, geração de conhecimento e transferência de tecnologia e o Desafio 5: Modernização e desenvolvimento organizacional.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Figura 2 – Metas e indicadores da UFSM 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-615315</wp:posOffset>
            </wp:positionH>
            <wp:positionV relativeFrom="paragraph">
              <wp:posOffset>109220</wp:posOffset>
            </wp:positionV>
            <wp:extent cx="7094855" cy="3094355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855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Fonts w:ascii="Arial" w:hAnsi="Arial"/>
          <w:sz w:val="24"/>
          <w:szCs w:val="24"/>
        </w:rPr>
        <w:t>Fonte: PROPLAN, 2018.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Os indicadores utilizados para os cursos de graduação são o Conceito Preliminar de Curso (CPC), Conceito de Cursos (CC), nota do ENADE e Taxa de Conclusão de Curso por vagas (TCV). Esses indicadores são vinculados ao Desafio 2 – Educação inovadora e transformadora com excelência acadêmica.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Na figura 3 é possível verificar os conceitos dos Cursos do CEFD.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Figura 3 – </w:t>
      </w:r>
      <w:r>
        <w:rPr>
          <w:rFonts w:ascii="Arial" w:hAnsi="Arial"/>
          <w:sz w:val="24"/>
          <w:szCs w:val="24"/>
        </w:rPr>
        <w:t>Evolução dos Cursos do CEFD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114300" distR="114935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514465" cy="3641725"/>
            <wp:effectExtent l="0" t="0" r="0" b="0"/>
            <wp:wrapSquare wrapText="bothSides"/>
            <wp:docPr id="4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65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highlight w:val="white"/>
        </w:rPr>
      </w:pPr>
      <w:r>
        <w:rPr>
          <w:rFonts w:ascii="Arial" w:hAnsi="Arial"/>
          <w:sz w:val="24"/>
          <w:szCs w:val="24"/>
          <w:highlight w:val="white"/>
        </w:rPr>
        <w:t>Fonte PROPLAN, 2018.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ab/>
        <w:t>A figura 4 apresenta a evolução da taxa de conclusão por vagas (TCV) dos Cursos do CEFD.</w:t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Figura 4 – Evolução da taxa de conclusão por vagas (TCV) do CEFD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</w:rPr>
        <w:t xml:space="preserve">Curso de </w:t>
      </w:r>
      <w:r>
        <w:rPr>
          <w:rFonts w:ascii="Arial" w:hAnsi="Arial"/>
          <w:b/>
          <w:bCs/>
          <w:u w:val="single"/>
        </w:rPr>
        <w:t>Dança Licenciatura</w:t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/>
        <w:drawing>
          <wp:inline distT="0" distB="0" distL="0" distR="0">
            <wp:extent cx="5114925" cy="2115820"/>
            <wp:effectExtent l="0" t="0" r="0" b="0"/>
            <wp:docPr id="5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/>
        <w:drawing>
          <wp:inline distT="0" distB="0" distL="0" distR="0">
            <wp:extent cx="4991100" cy="2478405"/>
            <wp:effectExtent l="0" t="0" r="0" b="0"/>
            <wp:docPr id="6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/>
        <w:drawing>
          <wp:inline distT="0" distB="0" distL="0" distR="0">
            <wp:extent cx="5400040" cy="2984500"/>
            <wp:effectExtent l="0" t="0" r="0" b="0"/>
            <wp:docPr id="7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/>
      </w:pPr>
      <w:r>
        <w:rPr>
          <w:rFonts w:ascii="Arial" w:hAnsi="Arial"/>
        </w:rPr>
        <w:tab/>
        <w:t>A partir do ano de 2017 o Curso aumentou a Taxa de Conclusão do Curso. Em 2017 o Curso de Dança Licenciatura formou 7 alunos/as -  (46 %), em 2018 foram  4 alunos/s – (26,6 %) e em 2019 – 7 alunos – (46 %), totalizando 4 turmas.</w:t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/>
        <w:drawing>
          <wp:inline distT="0" distB="0" distL="0" distR="0">
            <wp:extent cx="5400040" cy="238125"/>
            <wp:effectExtent l="0" t="0" r="0" b="0"/>
            <wp:docPr id="8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/>
        <w:drawing>
          <wp:inline distT="0" distB="0" distL="0" distR="0">
            <wp:extent cx="5400040" cy="2233930"/>
            <wp:effectExtent l="0" t="0" r="0" b="0"/>
            <wp:docPr id="9" name="Imagem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/>
        <w:drawing>
          <wp:inline distT="0" distB="0" distL="0" distR="0">
            <wp:extent cx="5382895" cy="2672715"/>
            <wp:effectExtent l="0" t="0" r="0" b="0"/>
            <wp:docPr id="10" name="Imagem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/>
        <w:drawing>
          <wp:inline distT="0" distB="0" distL="0" distR="0">
            <wp:extent cx="5382895" cy="2974975"/>
            <wp:effectExtent l="0" t="0" r="0" b="0"/>
            <wp:docPr id="11" name="Imagem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/>
        <w:drawing>
          <wp:inline distT="0" distB="0" distL="0" distR="0">
            <wp:extent cx="5400040" cy="238125"/>
            <wp:effectExtent l="0" t="0" r="0" b="0"/>
            <wp:docPr id="12" name="Imagem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/>
        <w:drawing>
          <wp:inline distT="0" distB="0" distL="0" distR="0">
            <wp:extent cx="5400040" cy="2233930"/>
            <wp:effectExtent l="0" t="0" r="0" b="0"/>
            <wp:docPr id="13" name="Imagem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  <w:highlight w:val="yellow"/>
        </w:rPr>
      </w:pPr>
      <w:r>
        <w:rPr>
          <w:rFonts w:ascii="Arial" w:hAnsi="Arial"/>
          <w:sz w:val="24"/>
          <w:szCs w:val="24"/>
          <w:highlight w:val="yellow"/>
        </w:rPr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5400040" cy="2680970"/>
            <wp:effectExtent l="0" t="0" r="0" b="0"/>
            <wp:docPr id="14" name="Imagem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5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  <w:highlight w:val="yellow"/>
        </w:rPr>
      </w:pPr>
      <w:r>
        <w:rPr>
          <w:rFonts w:ascii="Arial" w:hAnsi="Arial"/>
          <w:sz w:val="24"/>
          <w:szCs w:val="24"/>
          <w:highlight w:val="yellow"/>
        </w:rPr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5414645" cy="2992755"/>
            <wp:effectExtent l="0" t="0" r="0" b="0"/>
            <wp:docPr id="15" name="Imagem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6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  <w:highlight w:val="yellow"/>
        </w:rPr>
      </w:pPr>
      <w:r>
        <w:rPr>
          <w:rFonts w:ascii="Arial" w:hAnsi="Arial"/>
          <w:sz w:val="24"/>
          <w:szCs w:val="24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  <w:highlight w:val="yellow"/>
        </w:rPr>
      </w:pPr>
      <w:r>
        <w:rPr>
          <w:rFonts w:ascii="Arial" w:hAnsi="Arial"/>
          <w:sz w:val="24"/>
          <w:szCs w:val="24"/>
          <w:highlight w:val="yellow"/>
        </w:rPr>
      </w:r>
    </w:p>
    <w:p>
      <w:pPr>
        <w:pStyle w:val="Normal"/>
        <w:spacing w:before="0" w:after="0"/>
        <w:jc w:val="both"/>
        <w:rPr/>
      </w:pPr>
      <w:r>
        <w:rPr>
          <w:rFonts w:ascii="Arial" w:hAnsi="Arial"/>
          <w:sz w:val="24"/>
          <w:szCs w:val="24"/>
        </w:rPr>
        <w:t>Fonte: PROPLAN, 2018.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Os Cursos de Pós-graduação são avaliados pela Coordenação de Aperfeiçoamento de Pessoal de Nível Superior – CAPES, vinculada ao MEC. A avaliação consiste e, uma escala de 1 a 7. Os cursos que recebem notas 1 e 2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Figura 5 apresenta um quadro resumo dos indicadores da Pós-graduação (PPGS) da UFSM e do CEFD.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PPGS </w:t>
        <w:tab/>
        <w:t>com conceito CAPES 4 ou maior, com e sem Doutorado na UFSM – 2017.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/>
        <w:object>
          <v:shape id="ole_rId17" style="width:217.25pt;height:180.9pt" o:ole="">
            <v:imagedata r:id="rId18" o:title=""/>
          </v:shape>
          <o:OLEObject Type="Embed" ProgID="" ShapeID="ole_rId17" DrawAspect="Content" ObjectID="_232354195" r:id="rId17"/>
        </w:object>
      </w:r>
      <w:r>
        <w:rPr>
          <w:rFonts w:ascii="Arial" w:hAnsi="Arial"/>
          <w:b/>
          <w:bCs/>
          <w:color w:val="FFFFFF" w:themeColor="background1"/>
          <w:sz w:val="28"/>
          <w:szCs w:val="32"/>
        </w:rPr>
        <w:t xml:space="preserve"> </w:t>
      </w:r>
      <w:r>
        <w:rPr>
          <w:rFonts w:ascii="Arial" w:hAnsi="Arial"/>
          <w:b/>
          <w:bCs/>
          <w:color w:val="FFFFFF" w:themeColor="background1"/>
          <w:sz w:val="28"/>
          <w:szCs w:val="32"/>
        </w:rPr>
        <w:t>sem doutorado na UFSM – 2017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/>
        <w:object>
          <v:shape id="ole_rId19" style="width:475.65pt;height:204.05pt" o:ole="">
            <v:imagedata r:id="rId20" o:title=""/>
          </v:shape>
          <o:OLEObject Type="Embed" ProgID="" ShapeID="ole_rId19" DrawAspect="Content" ObjectID="_931177851" r:id="rId19"/>
        </w:objec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/>
      </w:pPr>
      <w:r>
        <w:rPr/>
        <w:object>
          <v:shape id="ole_rId21" style="width:315.5pt;height:725.15pt" o:ole="">
            <v:imagedata r:id="rId22" o:title=""/>
          </v:shape>
          <o:OLEObject Type="Embed" ProgID="" ShapeID="ole_rId21" DrawAspect="Content" ObjectID="_1418891527" r:id="rId21"/>
        </w:object>
      </w:r>
    </w:p>
    <w:p>
      <w:pPr>
        <w:pStyle w:val="Normal"/>
        <w:spacing w:before="0" w:after="0"/>
        <w:jc w:val="both"/>
        <w:rPr/>
      </w:pPr>
      <w:r>
        <w:rPr>
          <w:rFonts w:ascii="Arial" w:hAnsi="Arial"/>
          <w:b/>
          <w:color w:val="00000A"/>
          <w:sz w:val="24"/>
          <w:szCs w:val="24"/>
        </w:rPr>
        <w:t>Especialização em Educação Física Escolar</w:t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5400040" cy="3611245"/>
            <wp:effectExtent l="0" t="0" r="0" b="0"/>
            <wp:docPr id="1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ascii="Arial" w:hAnsi="Arial"/>
          <w:b/>
          <w:color w:val="00000A"/>
          <w:sz w:val="24"/>
          <w:szCs w:val="24"/>
        </w:rPr>
        <w:t xml:space="preserve">Mestrado em Educação Física </w:t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00000A"/>
          <w:sz w:val="24"/>
          <w:szCs w:val="24"/>
        </w:rPr>
        <w:t>Conceito 3 da abertura do curso, que foi em 2012, até 2018, ano em que passou para o conceito 4.</w:t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4772025" cy="3215005"/>
            <wp:effectExtent l="0" t="0" r="0" b="0"/>
            <wp:docPr id="1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Mestrado em Gerontologia</w:t>
      </w:r>
    </w:p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Conceito 3 desde o início do Curso, que foi em 2014.</w:t>
      </w:r>
    </w:p>
    <w:p>
      <w:pPr>
        <w:pStyle w:val="Normal"/>
        <w:spacing w:before="0" w:after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A"/>
          <w:sz w:val="24"/>
          <w:szCs w:val="24"/>
        </w:rPr>
        <w:t>Tivemos apenas uma avaliação, que manteve o conceito 3.</w:t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5400040" cy="3248025"/>
            <wp:effectExtent l="0" t="0" r="0" b="0"/>
            <wp:docPr id="1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b/>
          <w:b/>
          <w:color w:val="00000A"/>
          <w:sz w:val="24"/>
          <w:szCs w:val="24"/>
        </w:rPr>
      </w:pPr>
      <w:r>
        <w:rPr>
          <w:rFonts w:ascii="Arial" w:hAnsi="Arial"/>
          <w:b/>
          <w:color w:val="00000A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ascii="Arial" w:hAnsi="Arial"/>
          <w:b/>
          <w:color w:val="00000A"/>
          <w:sz w:val="24"/>
          <w:szCs w:val="24"/>
        </w:rPr>
        <w:t>2 PROCESSO DE ELABORAÇÃO DO PDU</w:t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before="0" w:after="0"/>
        <w:jc w:val="both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O processo de elaboração do PDU desenvolveu-se em cinco etapas principais de planejamento, inspirado na metodologia  utilizada pelo Centro de Ciências Sociais e Humanas (CCSH) da UFSM. A primeira fase envolveu a apresentação da missão, visão e valores da UFSM e a análise e relação e alteração destes elementos para o PDU/CEFD. A segunda fase constitui de retomada da etapa de diagnóstico, realizada por meio de reuniões sistematizadas pela Comissão, utilizando-se da matriz FOFA (Forças, Oportunidades, Fraquezas e Ameaças). A partir dos dados produzidos no diagnóstico, na terceira etapa do PDU realizou-se a construção dos objetivos de planejamento.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Como a terceira etapa não limitou o número de propostas, também foi realizada uma quarta etapa para priorização dos objetivos. A quinta etapa do PDU foi caracterizada pela construção dos planos de ação e sugestão de possíveis indicadores de desempenho.  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2.1 PRIMEIRA FASE – Definição da Missão, Visão e Valores e dos Desafios Institucionais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O texto anterior foi retomado pela comissão que analisou, refletiu e propôs algumas alterações no conteúdo base conforme segue abaixo.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uppressAutoHyphens w:val="true"/>
        <w:spacing w:lineRule="exact" w:line="252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shd w:fill="FFFFFF" w:val="clear"/>
          <w:lang w:eastAsia="zh-CN" w:bidi="hi-IN"/>
        </w:rPr>
        <w:t>Missão</w:t>
      </w:r>
    </w:p>
    <w:p>
      <w:pPr>
        <w:pStyle w:val="Normal"/>
        <w:widowControl w:val="false"/>
        <w:suppressAutoHyphens w:val="true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shd w:fill="FFFFFF" w:val="clear"/>
          <w:lang w:eastAsia="zh-CN" w:bidi="hi-IN"/>
        </w:rPr>
        <w:t>Construir e difundir conhecimento por meio do Ensino, Pesquisa e Extensão nas áreas de Educação Física, Gerontologia e Dança para atuar na formação de sujeitos críticos e criativos capazes de inovar e contribuir com o desenvolvimento da sociedade de modo sustentável.</w:t>
      </w:r>
    </w:p>
    <w:p>
      <w:pPr>
        <w:pStyle w:val="Normal"/>
        <w:widowControl w:val="false"/>
        <w:suppressAutoHyphens w:val="true"/>
        <w:spacing w:lineRule="exact" w:line="252"/>
        <w:jc w:val="both"/>
        <w:rPr>
          <w:rFonts w:ascii="Arial" w:hAnsi="Arial" w:eastAsia="SimSun" w:cs="Arial"/>
          <w:sz w:val="24"/>
          <w:szCs w:val="24"/>
          <w:lang w:eastAsia="zh-CN" w:bidi="hi-IN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exact" w:line="252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shd w:fill="FFFFFF" w:val="clear"/>
          <w:lang w:eastAsia="zh-CN" w:bidi="hi-IN"/>
        </w:rPr>
        <w:t>Visão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shd w:fill="FFFFFF" w:val="clear"/>
          <w:lang w:eastAsia="zh-CN" w:bidi="hi-IN"/>
        </w:rPr>
        <w:t>Ser reconhecido como uma unidade de excelência na construção e difusão do conhecimento nas áreas da Educação Física, Gerontologia e Dança comprometendo-se com o desenvolvimento da sociedade, de modo inovador e sustentável.</w:t>
      </w:r>
    </w:p>
    <w:p>
      <w:pPr>
        <w:pStyle w:val="Normal"/>
        <w:widowControl w:val="false"/>
        <w:suppressAutoHyphens w:val="true"/>
        <w:spacing w:lineRule="exact" w:line="252"/>
        <w:rPr/>
      </w:pPr>
      <w:r>
        <w:rPr>
          <w:rFonts w:eastAsia="Arial" w:cs="Arial" w:ascii="Arial" w:hAnsi="Arial"/>
          <w:b/>
          <w:sz w:val="24"/>
          <w:szCs w:val="24"/>
          <w:shd w:fill="FFFFFF" w:val="clear"/>
          <w:lang w:eastAsia="zh-CN" w:bidi="hi-IN"/>
        </w:rPr>
        <w:t>Valores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shd w:fill="FFFFFF" w:val="clear"/>
          <w:lang w:eastAsia="zh-CN" w:bidi="hi-IN"/>
        </w:rPr>
        <w:t>- Justiça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shd w:fill="FFFFFF" w:val="clear"/>
          <w:lang w:eastAsia="zh-CN" w:bidi="hi-IN"/>
        </w:rPr>
        <w:t>- Compromisso Social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shd w:fill="FFFFFF" w:val="clear"/>
          <w:lang w:eastAsia="zh-CN" w:bidi="hi-IN"/>
        </w:rPr>
        <w:t>- Atuação democrática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shd w:fill="FFFFFF" w:val="clear"/>
          <w:lang w:eastAsia="zh-CN" w:bidi="hi-IN"/>
        </w:rPr>
        <w:t>- Respeito às Identidades e à Diversidade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shd w:fill="FFFFFF" w:val="clear"/>
          <w:lang w:eastAsia="zh-CN" w:bidi="hi-IN"/>
        </w:rPr>
        <w:t>- Comprometimento ético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>- Inovação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>- Responsabilidade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>- Excelência Acadêmica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>- Liberdade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>- Sustentabilidade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eastAsia="SimSun" w:cs="Arial"/>
          <w:lang w:eastAsia="zh-CN" w:bidi="hi-IN"/>
        </w:rPr>
      </w:pPr>
      <w:r>
        <w:rPr>
          <w:rFonts w:eastAsia="SimSun" w:cs="Arial" w:ascii="Arial" w:hAnsi="Arial"/>
          <w:lang w:eastAsia="zh-CN" w:bidi="hi-IN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>2.1.1 Desafios Institucionais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eastAsia="SimSun" w:cs="Arial"/>
          <w:lang w:eastAsia="zh-CN" w:bidi="hi-IN"/>
        </w:rPr>
      </w:pPr>
      <w:r>
        <w:rPr>
          <w:rFonts w:eastAsia="SimSun" w:cs="Arial" w:ascii="Arial" w:hAnsi="Arial"/>
          <w:lang w:eastAsia="zh-CN" w:bidi="hi-IN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auto" w:line="360"/>
        <w:jc w:val="both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ab/>
        <w:t>Conforme destacamos anteriormente o processo de elagoração do PDU do CEFD seguiu o modelo do CCSH que alinha seu PDU aos PDI da UFSM de acordo com seus sete desafios institucionais: 1) Internacionalização; 2) Educação inovadora e transformadora com excelência acadêmica; 3) Inclusão social; 4) Inovação, geração de conhecimento e transferência de tecnologia; 5) Modernização e desenvolvimento organizacional; 6) Desenvolvimento local, regional e nacional e 7) Gestão ambiental.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/>
      </w:pPr>
      <w:r>
        <w:rPr/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/>
      </w:pPr>
      <w:r>
        <w:rPr/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 SEGUNDA FASE – Análise SWOT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 xml:space="preserve">A comissão de elaboração do PDU sistematizou reuniões com seus respectivos representantes: docentes, técnicos e alunos onde retomou e aprofundou o texto anterior acerca das forças, fraquezas, oportunidades e ameaças (Matriz FOFA). Além da história da área da Educação Física no CEFD o grupo discutiu e refletiu sobre a nova configuração da unidade a partir de seus desafios e perspectivas de crescimento, consolidação e expansão, sobretudo nas áreas de Gerontologia e Dança. As informações que se repetiam em mais de um desafio foram agrupadas para melhor apresentação das informações. A seguir, o quadro 1 apresenta Forças, o quadro 2 apresenta as Oportunidades, o quadro 3 apresenta as Fraquezas e o quadro 4 apresenta as ameaças. 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>Quadro 1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Forças</w:t>
      </w:r>
      <w:r>
        <w:rPr>
          <w:rFonts w:cs="Arial" w:ascii="Arial" w:hAnsi="Arial"/>
          <w:sz w:val="24"/>
          <w:szCs w:val="24"/>
        </w:rPr>
        <w:t xml:space="preserve"> do CEFD vinculadas aos sete Desafios Institucionais.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64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03"/>
        <w:gridCol w:w="2440"/>
      </w:tblGrid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FORÇAS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DESAFIOS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Estrutura física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 xml:space="preserve"> para a Educação Físcia.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D6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color w:val="00000A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Área para ampliação das estruturas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D5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Qualificação dos recursos humanos (Docentes, TAES)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D1, D2, D4, D5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color w:val="00000A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Retomada da Pós-graduação com os cursos de Mestrados em Educação Física e Gerontologia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 xml:space="preserve">D2, D3, D4, 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Reconhecimento do CEFD e da UFSM enquanto instituição no Brasil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D6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Procura pelos cursos oferecidos pelo CEFD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D6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Participação de alunos e professores de outros cursos em atividades do CEFD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D4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Bolsas FIPE, FIEX, Monitoria, Bolsa PRAE, PIBID, PET, Capes, FAPERGS, CNPq, PROLICEN, RESIDENCIA, FIEN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D3, D4, D6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Divulgação das ações do CEFD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D5, D3, D6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color w:val="00000A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Atuação do Curso de Dança Licenciatura (área das Artes)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D3, D4, D5, D6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Formação de Professores/as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D1, D2, D3, D6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 xml:space="preserve">Formação de alunos/as para o Mundo do trabalho 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D1, D2, D4, D6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Diversidade de campo de atuação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D3, D4</w:t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62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4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>Quadro 2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  <w:u w:val="single"/>
        </w:rPr>
        <w:t>Oportunidades</w:t>
      </w:r>
      <w:r>
        <w:rPr>
          <w:rFonts w:cs="Arial" w:ascii="Arial" w:hAnsi="Arial"/>
          <w:sz w:val="24"/>
          <w:szCs w:val="24"/>
        </w:rPr>
        <w:t xml:space="preserve"> do CEFD vinculadas aos sete Desafios Institucionais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64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6"/>
        <w:gridCol w:w="3007"/>
      </w:tblGrid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Oportunidades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Desafios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Participação em eventos e  Competições nacionais e internacionais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D1, D2, D3, D4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color w:val="00000A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 xml:space="preserve">Financiamentos  de projetos via  Ministérios (Saúde e Educação, Capes, CNPq, etc.) e </w:t>
            </w:r>
            <w:r>
              <w:rPr>
                <w:rFonts w:eastAsia="Arial" w:cs="Arial" w:ascii="Arial" w:hAnsi="Arial"/>
                <w:i/>
                <w:color w:val="00000A"/>
                <w:sz w:val="24"/>
                <w:szCs w:val="24"/>
                <w:shd w:fill="FFFFFF" w:val="clear"/>
                <w:lang w:eastAsia="zh-CN" w:bidi="hi-IN"/>
              </w:rPr>
              <w:t>Grants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 xml:space="preserve"> (internacionais)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D1, D5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Convênios com empresas públicas e privadas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D4, D6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Uso de Novas tecnologias.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D4, D7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D3, D6, D7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Circulação de elevado número de estudantes e comunidade diariamente no Campus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ind w:firstLine="708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</w:rPr>
              <w:t>Benefícios e assistência estudantil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D3, D6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Localização Geográfica da cidade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D1, D6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Promover atividades de interação com a SAI visando divulgação.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Incentivar a participação de alunos em cursos de idiomas.</w:t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</w:t>
            </w:r>
          </w:p>
        </w:tc>
      </w:tr>
      <w:tr>
        <w:trPr/>
        <w:tc>
          <w:tcPr>
            <w:tcW w:w="56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Estimular e capacitar docentes para participar de editais de fomentos nacional e internacional.</w:t>
            </w:r>
          </w:p>
        </w:tc>
        <w:tc>
          <w:tcPr>
            <w:tcW w:w="30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>Quadro 3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  <w:u w:val="single"/>
        </w:rPr>
        <w:t>Fraquezas</w:t>
      </w:r>
      <w:r>
        <w:rPr>
          <w:rFonts w:cs="Arial" w:ascii="Arial" w:hAnsi="Arial"/>
          <w:sz w:val="24"/>
          <w:szCs w:val="24"/>
        </w:rPr>
        <w:t xml:space="preserve"> do CEFD vinculadas aos 7 desafios Institucionais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64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4"/>
        <w:gridCol w:w="2299"/>
      </w:tblGrid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FRAQUEZAS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</w:rPr>
              <w:t>DESAFIOS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color w:val="00000A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Instalações antigas e precárias gerais do prédio, acessos, calçamento, estacionamento, portaria, prédio obsoleto, falta de iluminação, de janelas, insalubridade, banheiros sem adaptação, limpeza geral.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D5, D6, D7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Poucos recursos financeiros para manutenção, melhorias e ampliações da estrutura física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D5, D6, D7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Evasão dos alunos dos cursos do CEFD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D3, D6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Demora para atualização dos cursos e/ou reforma curricular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D1, D2, D3, D6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 xml:space="preserve">Má distribuição de espaços e horários de aulas e atividades 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Falta de um espaço de guarda e controle dos materiais de uso comum nos ginásios, quadras, piscinas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Segurança/PPCI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D5, D7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Fechamento do setor de fotocopiadora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D4, D5, D7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Falta de profissionalismo na aceitação de posições divergentes em debates ou em decisões administrativas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D4, 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Pouco comprometimento com a formação acadêmica or parte de alunos, professores e técnicos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D4, 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Não cumprimento adequado das rotinas administrativas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Recursos limitados para incentivo de docentes, Técnicos Administrativos em Educação e estudantes para participação em eventos e cursos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Inexistência de um espaço próprio e adequado de convivência.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Falta de comunicação interna e divulgação das atividades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Lancheria com horários reduzidos e/ou insuficientes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Falta de vagas docentes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Separação de gênero em disciplinas de Educação Física (LDN, PCN)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D3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Falta de rede a cabo e Wi-Fi em salas de aula e computadores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Laboratório de informática insuficiente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Falta de transparência na definição de critérios para auxílio a professores em eventos.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Pouco apoio aos cursos de Mestrados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Desmotivação de técnicos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Falta de investimento em instrumentos de pesquisa qualitativos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D1, D2, D4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>Ações individuais que não se tornam projetos coletivos ou de centro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  <w:lang w:eastAsia="zh-CN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 xml:space="preserve">D5, 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color w:val="00000A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  <w:t xml:space="preserve">Dificuldade nas relações interpessoais. 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ind w:left="720" w:hanging="0"/>
              <w:jc w:val="center"/>
              <w:rPr>
                <w:rFonts w:ascii="Arial" w:hAnsi="Arial" w:eastAsia="Arial" w:cs="Arial"/>
                <w:color w:val="00000A"/>
                <w:sz w:val="24"/>
                <w:szCs w:val="24"/>
                <w:shd w:fill="FFFFFF" w:val="clear"/>
                <w:lang w:eastAsia="zh-CN" w:bidi="hi-IN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  <w:shd w:fill="FFFFFF" w:val="clear"/>
                <w:lang w:eastAsia="zh-CN" w:bidi="hi-IN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D5,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Buscar o estabelecimento de convênios de ensino, pesquisa e extensão a partir da participação em eventos internacionais, publicações, bancas, entre outros.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Incentivar a participação de alunos em cursos de idiomas.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</w:t>
            </w:r>
          </w:p>
        </w:tc>
      </w:tr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20" w:leader="none"/>
              </w:tabs>
              <w:suppressAutoHyphens w:val="true"/>
              <w:spacing w:lineRule="exact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Estimular e capacitar docentes para participar de editais de fomentos nacional e internacional.</w:t>
            </w:r>
          </w:p>
        </w:tc>
        <w:tc>
          <w:tcPr>
            <w:tcW w:w="22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D1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Quadro 4</w:t>
      </w:r>
      <w:r>
        <w:rPr>
          <w:rFonts w:cs="Arial" w:ascii="Arial" w:hAnsi="Arial"/>
          <w:color w:val="00000A"/>
          <w:sz w:val="24"/>
          <w:szCs w:val="24"/>
        </w:rPr>
        <w:t xml:space="preserve"> – </w:t>
      </w:r>
      <w:r>
        <w:rPr>
          <w:rFonts w:cs="Arial" w:ascii="Arial" w:hAnsi="Arial"/>
          <w:color w:val="00000A"/>
          <w:sz w:val="24"/>
          <w:szCs w:val="24"/>
          <w:u w:val="single"/>
        </w:rPr>
        <w:t>Ameaças</w:t>
      </w:r>
      <w:r>
        <w:rPr>
          <w:rFonts w:cs="Arial" w:ascii="Arial" w:hAnsi="Arial"/>
          <w:color w:val="00000A"/>
          <w:sz w:val="24"/>
          <w:szCs w:val="24"/>
        </w:rPr>
        <w:t xml:space="preserve"> do CEFD vinculadas aos Desafios Institucionais</w:t>
      </w:r>
    </w:p>
    <w:p>
      <w:pPr>
        <w:pStyle w:val="Normal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tbl>
      <w:tblPr>
        <w:tblW w:w="872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81"/>
        <w:gridCol w:w="2438"/>
      </w:tblGrid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AMEAÇAS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DESAFIO</w:t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Baixa disponibilidade ou de recursos financeiros</w:t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D4, D5</w:t>
            </w:r>
          </w:p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color w:val="00000A"/>
              </w:rPr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 xml:space="preserve">Dificuldade de acesso aos serviços de manutenção de espaços e materiais (PROINFRA) </w:t>
            </w:r>
          </w:p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Falta de segurança aos finais de semana</w:t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1915" w:hanging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Ociosidade à noite.</w:t>
            </w:r>
          </w:p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1915" w:hanging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D5</w:t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Planejamento de Gestão e não de Estado.</w:t>
            </w:r>
          </w:p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D5</w:t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Falta de planejamento e transparência na distribuição de espaços, valores e vagas docentes.</w:t>
            </w:r>
          </w:p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D5</w:t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Cultura de comodismo do serviço público.</w:t>
            </w:r>
          </w:p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D2, D4, D5</w:t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Distância dos grandes centros onde ocorrem eventos e competições de alto nível</w:t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D6</w:t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62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2.3  </w:t>
      </w:r>
      <w:r>
        <w:rPr>
          <w:rFonts w:cs="Arial" w:ascii="Arial" w:hAnsi="Arial"/>
          <w:b/>
          <w:bCs/>
          <w:color w:val="000000"/>
          <w:sz w:val="24"/>
          <w:szCs w:val="24"/>
        </w:rPr>
        <w:t>TERCEIRA FASE - Definição dos objetivos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Dando prosseguimento à metodologia adotada, a comissão solicitou a todas as subunidades e setores do CEFD, e suas respectivas chefias, sugestões de objetivos de acordo com os setes Desafios institucionais da UFSM. Neste sentido, cada setor do CEFD se reuniu e discutiu sobre suas prioridades, limites e possibilidades de atuação. A comissão estabeleceu o prazo para o envio dos objetivos de cada subunidade, de 10 a 24 de maio de 2019. Os setores que enviaram seus objetivos e prioridades foram: Núcleo e Divulgação Institucional (NDI); Mestrado em Gerontologia; Núcleo de Execução e Controle Orçamentário (NUECO); Departamentos Didáticos e Gabinete de Projetos (GAP).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2.3.1 Priorização dos objetivos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auto" w:line="36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  <w:t>Após receber os objetivos enviados das subunidades, a comissão passou a compilar os dados para a realização de consulta on-line. Para esta etapa foi criado um instrumento on-line contendo todos os objetivos propostos tanto pela Comissão como pelo envio das subunidades. A Comissão também entrou em contato com o Centro de Processamento de Dados (CPD) para viabilizar o envio do questionário on-line para toda a comunidade do CEFD, ou seja, para todos os alunos matriculados da graduação e da Pós-graduação, para os técnicos e para os docentes. Assim, a comunidade acadêmica foi chamada a priorizar 5 objetivos principais entre todos os elencados em cada Desafio Institucional. A consulta on-line ficou disponível a toda a comunidade acadêmica de 1 a 14 de julho de 2019.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>A seguir apresentam-se os objetivos propostos pela Comissão e pelas subunidades do CEFD.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2.3.2 Internacionalização (D1)</w:t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</w:r>
      <w:bookmarkStart w:id="2" w:name="__DdeLink__966_434242160"/>
      <w:r>
        <w:rPr>
          <w:rFonts w:cs="Arial" w:ascii="Arial" w:hAnsi="Arial"/>
          <w:sz w:val="24"/>
          <w:szCs w:val="24"/>
        </w:rPr>
        <w:t xml:space="preserve">Para a internacionalização foram propostos </w:t>
      </w:r>
      <w:bookmarkEnd w:id="2"/>
      <w:r>
        <w:rPr>
          <w:rFonts w:cs="Arial" w:ascii="Arial" w:hAnsi="Arial"/>
          <w:sz w:val="24"/>
          <w:szCs w:val="24"/>
        </w:rPr>
        <w:t>19 objetivos conforme abaixo.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 xml:space="preserve">1) Fomentar as práticas esportivas vinculadas ao CEFD oportunizando a participação em eventos internacionais. 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2) Buscar o estabelecimento de convênios de ensino, pesquisa e extensão a partir da participação em eventos internacionais, publicações, bancas, entre outros.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3) Promover atividades de interação com a SAI visando divulgação 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4) Estimular a qualificação e formação continuada de alunos, docentes e técnicos em Programas no exterior.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5) Fomentar a inserção da internacionalização nos projetos político-pedagógicos dos cursos de graduação.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6) Incentivar a participação de alunos em cursos de idiomas.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7) Estimular e capacitar docentes para participar de editais de fomentos nacional e internacional.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8) Buscar investimentos externos para viabilizar o financiamento de projetos</w:t>
      </w:r>
    </w:p>
    <w:p>
      <w:pPr>
        <w:pStyle w:val="Normal"/>
        <w:suppressAutoHyphens w:val="true"/>
        <w:spacing w:lineRule="auto" w:line="36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>9) Disponibilizar as versões em espanhol e inglês das publicações do NDI para circulação externa.</w:t>
      </w:r>
    </w:p>
    <w:p>
      <w:pPr>
        <w:pStyle w:val="Normal"/>
        <w:suppressAutoHyphens w:val="true"/>
        <w:spacing w:lineRule="auto" w:line="36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>10) buscar públicos estrangeiros para as publicações do NDI.</w:t>
      </w:r>
    </w:p>
    <w:p>
      <w:pPr>
        <w:pStyle w:val="Normal"/>
        <w:suppressAutoHyphens w:val="true"/>
        <w:spacing w:lineRule="auto" w:line="36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>11) disponibilizar fontes estrangeiras de informações interessantes à comunidade interna do CEFD.</w:t>
      </w:r>
    </w:p>
    <w:p>
      <w:pPr>
        <w:pStyle w:val="Normal"/>
        <w:suppressAutoHyphens w:val="true"/>
        <w:spacing w:lineRule="auto" w:line="36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>12) divulgar sistematicamente as ações de mobilidade acadêmica internacional e intercâmbio realizadas pelos alunos do CEFD no exterior e de alunos estrangeiros no CEFD.</w:t>
      </w:r>
    </w:p>
    <w:p>
      <w:pPr>
        <w:pStyle w:val="Normal"/>
        <w:shd w:val="clear" w:color="auto" w:fill="FFFFFF"/>
        <w:spacing w:lineRule="auto" w:line="360" w:before="0" w:after="0"/>
        <w:rPr/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13) Buscar colaborações em pesquisas com instituições estrangeiras.</w:t>
        <w:br/>
      </w: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14) Realizar disciplinas e cursos de pequena duração com professores visitantes de universidades dos Estados Unidos, Canadá, Japão, Portugal e Espanha.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15) Realizar eventos que  possibilitem a transferência de conhecimento de pesquisadores de outros países para pesquisadores do Brasil.</w:t>
      </w:r>
    </w:p>
    <w:p>
      <w:pPr>
        <w:pStyle w:val="Standard"/>
        <w:spacing w:lineRule="auto" w:line="276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16) Otimizar as rotinas administrativas e os sistemas de informação, primando pela agilidade, desburocratização, transparência e qualidade das informações e da gestão.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>
          <w:rFonts w:cs="Arial" w:ascii="Arial" w:hAnsi="Arial"/>
          <w:color w:val="222222"/>
        </w:rPr>
        <w:t>17) Desenvolver processos e rotinas de trabalho que considerem a realidade multi-campi e os diferentes níveis de ensino.</w:t>
      </w:r>
    </w:p>
    <w:p>
      <w:pPr>
        <w:pStyle w:val="Standard"/>
        <w:spacing w:lineRule="auto" w:line="276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</w:r>
    </w:p>
    <w:p>
      <w:pPr>
        <w:pStyle w:val="Standard"/>
        <w:spacing w:lineRule="auto" w:line="360"/>
        <w:jc w:val="both"/>
        <w:rPr/>
      </w:pPr>
      <w:r>
        <w:rPr>
          <w:rFonts w:cs="Arial" w:ascii="Arial" w:hAnsi="Arial"/>
        </w:rPr>
        <w:t>18) Executar os empenhos de diárias, passagens, taxa de inscrições, referentes à viagens e eventos internacionais de docentes e TAEs.</w:t>
      </w:r>
    </w:p>
    <w:p>
      <w:pPr>
        <w:pStyle w:val="Standard"/>
        <w:spacing w:lineRule="auto" w:line="360"/>
        <w:jc w:val="both"/>
        <w:rPr/>
      </w:pPr>
      <w:r>
        <w:rPr>
          <w:rFonts w:cs="Arial" w:ascii="Arial" w:hAnsi="Arial"/>
        </w:rPr>
        <w:t>19) Apoiar iniciativas e projetos de pesquisa, ensino ou extensão que possam alcançar relevância internacional.</w:t>
      </w:r>
    </w:p>
    <w:p>
      <w:pPr>
        <w:pStyle w:val="Standard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2.3.3 Educação inovadora e transformadora com excelência acadêmica (D2)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  <w:t>Para a Educação inovadora e transformadora com excelência acadêmica foram propostos 21 objetivos conforme abaixo.</w:t>
      </w:r>
    </w:p>
    <w:p>
      <w:pPr>
        <w:pStyle w:val="Normal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1) Incentivar a capacitação de TAES e docentes na participação das atividades acadêmicas e administrativas de forma integrada.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 xml:space="preserve">2) Fomentar atividades de compartilhamento de projetos em desenvolvimento criando ambiente favorável para a formação de parcerias. 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3) Estimular a atualização dos currículos de modo a contemplar as novas diretrizes da legislação e demandas sociais.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 xml:space="preserve">4) Estimular e aprimorar as parcerias entre os Cursos de Graduação e Pós-graduação do CEFD. 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5) Aproximar a comunidade do CEFD às ações esportivas, artísticas e culturais de projetos em desenvolvimento pelo CEFD.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6) Promover processos de capacitação docente continuada.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7) Estimular ações vinculadas a Temáticas Transversais e interdisciplinares como Meio Ambiente, Relações Étnico-raciais, Direitos Humanos, relações de Gênero, Sexualidade, Geracão, Pessoas com deficiência, população em situação de vulnerabilidade social e pessoas com privação de liberdade.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8) Estimular parcerias com outros Cursos e Centros a fim de propiciar ações compartilhadas e interdisciplinares.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9) Promover parcerias com empresas em geral bem como com a Incubadora Tecnológica e Social da UFSM.</w:t>
      </w:r>
    </w:p>
    <w:p>
      <w:pPr>
        <w:pStyle w:val="Normal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10) Priorizar os recursos de modo a promover a participação de alunos em eventos , apresentações de trabalhos e publicações.</w:t>
      </w:r>
    </w:p>
    <w:p>
      <w:pPr>
        <w:pStyle w:val="Normal"/>
        <w:suppressAutoHyphens w:val="true"/>
        <w:spacing w:lineRule="auto" w:line="36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>11) Ampliar a quantidade e a visibilidade interna das publicações do NDI;</w:t>
      </w:r>
    </w:p>
    <w:p>
      <w:pPr>
        <w:pStyle w:val="Normal"/>
        <w:suppressAutoHyphens w:val="true"/>
        <w:spacing w:lineRule="auto" w:line="36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>12) Realizar campanhas de valorização profissional (Bacharel e Licenciado em Educação Física, Licenciado em Dança), direcionadas à comunidade do CEFD e da UFSM;</w:t>
      </w:r>
    </w:p>
    <w:p>
      <w:pPr>
        <w:pStyle w:val="Normal"/>
        <w:suppressAutoHyphens w:val="true"/>
        <w:spacing w:lineRule="auto" w:line="36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>13) Realizar pesquisas de opinião pública periódicas entre os alunos e os egressos acerca da formação acadêmica e da atuação profissional nas áreas de Dança-Licenciatura e Educação Física.</w:t>
      </w:r>
    </w:p>
    <w:p>
      <w:pPr>
        <w:pStyle w:val="Normal"/>
        <w:shd w:val="clear" w:color="auto" w:fill="FFFFFF"/>
        <w:spacing w:lineRule="auto" w:line="360" w:before="0" w:after="0"/>
        <w:rPr>
          <w:color w:val="00000A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14) Buscar meios de incentivar e aprimorar a produção de artigos do Curso;</w:t>
      </w:r>
    </w:p>
    <w:p>
      <w:pPr>
        <w:pStyle w:val="Normal"/>
        <w:shd w:val="clear" w:color="auto" w:fill="FFFFFF"/>
        <w:spacing w:lineRule="auto" w:line="360" w:before="0" w:after="0"/>
        <w:rPr>
          <w:color w:val="00000A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15) Consolidar a visão e a concepção interdisciplinar do Programa;</w:t>
      </w:r>
    </w:p>
    <w:p>
      <w:pPr>
        <w:pStyle w:val="Normal"/>
        <w:spacing w:lineRule="auto" w:line="360"/>
        <w:jc w:val="both"/>
        <w:rPr>
          <w:color w:val="00000A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16) Organizar novas disciplinas que aumentem a integração com a Educação Básica visando a disseminação de conceitos da área gerontológica.</w:t>
        <w:br/>
        <w:t xml:space="preserve">17) </w:t>
      </w:r>
      <w:r>
        <w:rPr>
          <w:rFonts w:eastAsia="NSimSun" w:cs="Arial" w:ascii="Arial" w:hAnsi="Arial"/>
          <w:bCs/>
          <w:color w:val="00000A"/>
          <w:sz w:val="24"/>
          <w:szCs w:val="24"/>
          <w:lang w:eastAsia="zh-CN" w:bidi="hi-IN"/>
        </w:rPr>
        <w:t>Desenvolver processos e rotinas de trabalho que considerem a realidade multi-campi e os diferentes níveis de ensino.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color w:val="00000A"/>
        </w:rPr>
      </w:pPr>
      <w:r>
        <w:rPr>
          <w:rFonts w:eastAsia="NSimSun" w:cs="Arial" w:ascii="Arial" w:hAnsi="Arial"/>
          <w:bCs/>
          <w:color w:val="00000A"/>
          <w:sz w:val="24"/>
          <w:szCs w:val="24"/>
          <w:lang w:eastAsia="zh-CN" w:bidi="hi-IN"/>
        </w:rPr>
        <w:t>18) Desenvolver uma cultura de comprometimento organizacional.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Arial" w:hAnsi="Arial" w:eastAsia="NSimSun" w:cs="Arial"/>
          <w:bCs/>
          <w:color w:val="00000A"/>
          <w:sz w:val="24"/>
          <w:szCs w:val="24"/>
          <w:lang w:eastAsia="zh-CN" w:bidi="hi-IN"/>
        </w:rPr>
      </w:pPr>
      <w:r>
        <w:rPr>
          <w:rFonts w:eastAsia="NSimSun" w:cs="Arial" w:ascii="Arial" w:hAnsi="Arial"/>
          <w:bCs/>
          <w:color w:val="00000A"/>
          <w:sz w:val="24"/>
          <w:szCs w:val="24"/>
          <w:lang w:eastAsia="zh-CN" w:bidi="hi-IN"/>
        </w:rPr>
        <w:t>19) Oferecer uma infraestrutura de apoio qualificada e de acordo com as necessidades de cada área de conhecimento.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color w:val="00000A"/>
        </w:rPr>
      </w:pPr>
      <w:r>
        <w:rPr>
          <w:color w:val="00000A"/>
        </w:rPr>
      </w:r>
    </w:p>
    <w:p>
      <w:pPr>
        <w:pStyle w:val="Standard"/>
        <w:jc w:val="both"/>
        <w:rPr/>
      </w:pPr>
      <w:r>
        <w:rPr>
          <w:rFonts w:ascii="Arial" w:hAnsi="Arial"/>
        </w:rPr>
        <w:t>20) Apoiar e prestar auxílio a iniciativas que busquem qualificação e formação continuada de professores e alunos, tanto da comunidade interna ou externa da UFSM.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/>
      </w:pPr>
      <w:r>
        <w:rPr>
          <w:rFonts w:ascii="Arial" w:hAnsi="Arial"/>
        </w:rPr>
        <w:t>21) Prestar o apoio necessário para a devida certificação de discentes, docentes, TAEs ou colaboradores externos participantes de projetos.</w:t>
      </w:r>
    </w:p>
    <w:p>
      <w:pPr>
        <w:pStyle w:val="Normal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Inclusão Social (D3)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  <w:t>Para a Inclusão Social foram propostos 15 objetivos conforme abaixo.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A"/>
          <w:sz w:val="24"/>
          <w:szCs w:val="24"/>
        </w:rPr>
        <w:t>1) Capacitar Docentes,  discentes e técnicos administrativos nas áreas de Pessoas com deficiência (PCD), Envelhecimento, Gênero, Sexualidade, lei 2003 (Cultura Africana e Indígena).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2) Fortalecer as políticas de permanência de discentes.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3) Qualificar a infraestrutura de engenharia e logística respeitando as premissas de acessibilidade, respeito ao Meio Ambiente e segurança.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4) Promover diferentes ações de Extensão fortalecendo o diálogo com os segmentos da sociedade de modo a envolver a participação popular.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5) Fortalecer a superação de dificuldades de aprendizagem de discentes por meio estratégicas de apoio pedagógico das subunidades como UAP e NDE.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6) Possibilitar ações que contemplem crianças e adolescentes em situação de vulnerabilidade social.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 xml:space="preserve">7) Ampliar a participação de alunos da comunidade do CEFD em projetos esportivos, artísticos, culturais. </w:t>
      </w:r>
    </w:p>
    <w:p>
      <w:pPr>
        <w:pStyle w:val="Normal"/>
        <w:suppressAutoHyphens w:val="true"/>
        <w:spacing w:lineRule="auto" w:line="360" w:before="0" w:after="0"/>
        <w:jc w:val="both"/>
        <w:rPr/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 xml:space="preserve">8) Disponibilizar versões acessíveis </w:t>
      </w:r>
      <w:r>
        <w:rPr>
          <w:rFonts w:eastAsia="SimSun" w:cs="Arial" w:ascii="Arial" w:hAnsi="Arial"/>
          <w:sz w:val="24"/>
          <w:szCs w:val="24"/>
          <w:lang w:eastAsia="zh-CN" w:bidi="hi-IN"/>
        </w:rPr>
        <w:t>das publicações do NDI para circulação interna e externa.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9) Desenvolver um conjunto consistente de ações em nível de Extensão voltadas aos idosos.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10) Capacitar através de cursos e eventos de curta duração os profissionais com formação superior e do ensino médio na área gerontológica.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eastAsia="NSimSun" w:cs="Arial" w:ascii="Arial" w:hAnsi="Arial"/>
          <w:bCs/>
          <w:color w:val="222222"/>
          <w:sz w:val="24"/>
          <w:szCs w:val="24"/>
          <w:lang w:eastAsia="zh-CN" w:bidi="hi-IN"/>
        </w:rPr>
        <w:t>11) Desenvolver processos e rotinas de trabalho que considerem a realidade multi-campi e os diferentes níveis de ensino.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eastAsia="NSimSun" w:cs="Arial" w:ascii="Arial" w:hAnsi="Arial"/>
          <w:bCs/>
          <w:color w:val="222222"/>
          <w:sz w:val="24"/>
          <w:szCs w:val="24"/>
          <w:lang w:eastAsia="zh-CN" w:bidi="hi-IN"/>
        </w:rPr>
        <w:t>12) Disseminar uma cultura ética em relação à inclusão, à diversidade e ao meio-ambiente.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13) Executar os empenhos referentes as bolsas de alunos de monitoria, recursos do centro, formação, e esporte universitário, dando os encaminhamentos necessários ao pagamento.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14) </w:t>
      </w:r>
      <w:r>
        <w:rPr>
          <w:rFonts w:cs="Arial" w:ascii="Arial" w:hAnsi="Arial"/>
          <w:color w:val="1D2228"/>
          <w:sz w:val="24"/>
          <w:szCs w:val="24"/>
        </w:rPr>
        <w:t>Buscar oportunidades junto aos diversos órgãos e/ou instituições que apoiem a extensão universitária no Rio Grande do Sul e no Brasil.</w:t>
      </w:r>
    </w:p>
    <w:p>
      <w:pPr>
        <w:pStyle w:val="Standard"/>
        <w:jc w:val="both"/>
        <w:rPr/>
      </w:pPr>
      <w:r>
        <w:rPr>
          <w:rFonts w:cs="Arial" w:ascii="Arial" w:hAnsi="Arial"/>
          <w:color w:val="1D2228"/>
        </w:rPr>
        <w:t>15) Auxiliar os docentes e demais interessados na elaboração</w:t>
      </w:r>
      <w:r>
        <w:rPr>
          <w:rFonts w:ascii="Arial" w:hAnsi="Arial"/>
          <w:color w:val="1D2228"/>
        </w:rPr>
        <w:t>, registro e controle das ações de extensão em desenvolvimento no CEFD/UFSM.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>Inovação, geração de conhecimento e transferência de tecnologia (D4)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>
          <w:rFonts w:cs="Arial" w:ascii="Arial" w:hAnsi="Arial"/>
          <w:sz w:val="24"/>
          <w:szCs w:val="24"/>
        </w:rPr>
        <w:t>Para a Inovação, geração de conhecimento e transferência de tecnologia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foram propostos 15 objetivos conforme abaixo.</w:t>
      </w:r>
    </w:p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1) Fomentar ações e mecanismos de integração entre o CEFD, empresas e comunidade.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2) Qualificar e ampliar as ações de fomento à pesquisa com parcerias e convênios.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3) Ampliar o uso de tecnologias em diferentes processos institucionais.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4) Ampliar o processo de captação de recursos extra-orçamentários.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5) Otimizar as rotinas administrativas e os sistemas de informação primando pela agilidade, desburocratização, transparência e qualidade das informações de gestão.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6) Incentivar capacitações sobre transferências de tecnologia e propriedade intelectual.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7) Qualificar o processo de construção da produção científica com a finalidade de publicação em periódicos de maior impacto científico.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8) Qualificar a estrutura e gestão da Revista científica do CEFD.</w:t>
      </w:r>
    </w:p>
    <w:p>
      <w:pPr>
        <w:pStyle w:val="Normal"/>
        <w:suppressAutoHyphens w:val="true"/>
        <w:spacing w:lineRule="auto" w:line="36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>9) Protagonizar a comunicação do CEFD com seus diversos públicos, por meio do sitio institucional e das redes sociais.</w:t>
      </w:r>
    </w:p>
    <w:p>
      <w:pPr>
        <w:pStyle w:val="Normal"/>
        <w:suppressAutoHyphens w:val="true"/>
        <w:spacing w:lineRule="auto" w:line="36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>10) desenvolver meios específicos de divulgação interna e externa da produção científica e das ações de ensino e extensão do CEFD.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11) Incentivar estudos que desenvolvam processos inovadores na atenção a pessoa idosa.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00000A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12) Incentivar o desenvolvimento de patentes na área gerontológica.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Arial" w:hAnsi="Arial" w:eastAsia="NSimSun" w:cs="Arial"/>
          <w:bCs/>
          <w:color w:val="00000A"/>
          <w:sz w:val="24"/>
          <w:szCs w:val="24"/>
          <w:lang w:eastAsia="zh-CN" w:bidi="hi-IN"/>
        </w:rPr>
      </w:pPr>
      <w:r>
        <w:rPr>
          <w:rFonts w:eastAsia="NSimSun" w:cs="Arial" w:ascii="Arial" w:hAnsi="Arial"/>
          <w:bCs/>
          <w:color w:val="00000A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color w:val="00000A"/>
        </w:rPr>
      </w:pPr>
      <w:r>
        <w:rPr>
          <w:rFonts w:eastAsia="NSimSun" w:cs="Arial" w:ascii="Arial" w:hAnsi="Arial"/>
          <w:bCs/>
          <w:color w:val="00000A"/>
          <w:sz w:val="24"/>
          <w:szCs w:val="24"/>
          <w:lang w:eastAsia="zh-CN" w:bidi="hi-IN"/>
        </w:rPr>
        <w:t>13) Desenvolver processos e rotinas de trabalho que considerem a realidade multi-campi e os diferentes níveis de ensino.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color w:val="00000A"/>
        </w:rPr>
      </w:pPr>
      <w:r>
        <w:rPr>
          <w:rFonts w:eastAsia="NSimSun" w:cs="Arial" w:ascii="Arial" w:hAnsi="Arial"/>
          <w:bCs/>
          <w:color w:val="00000A"/>
          <w:sz w:val="24"/>
          <w:szCs w:val="24"/>
          <w:lang w:eastAsia="zh-CN" w:bidi="hi-IN"/>
        </w:rPr>
        <w:t>14) Oferecer uma infraestrutura de apoio qualificada e de acordo com as necessidades de cada área de conhecimento.</w:t>
      </w:r>
    </w:p>
    <w:p>
      <w:pPr>
        <w:pStyle w:val="Normal"/>
        <w:jc w:val="both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</w:rPr>
        <w:t xml:space="preserve">15) </w:t>
      </w:r>
      <w:r>
        <w:rPr>
          <w:rFonts w:ascii="Arial" w:hAnsi="Arial"/>
          <w:color w:val="00000A"/>
          <w:sz w:val="24"/>
          <w:szCs w:val="24"/>
        </w:rPr>
        <w:t>Buscar oportunidades de financiamento em instituições, ministérios, agências de fomento e empresas que ofereçam chamadas públicas para qualificação dos laboratórios, custeio de pesquisas, bem como, bolsas para pesquisadores.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Modernização e Desenvolvimento organizacional (D5)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Para a Modernização e Desenvolvimento organizacional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foram propostos 27 objetivos conforme abaixo.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1) Realizar levantamento de necessidades de acessibilidade e sustentabilidade.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 xml:space="preserve">2)  Desenvolver uma cultura de comprometimento organizacional. 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3) Capacitar docentes e técnicos para atuar em projetos com repasses de recursos.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4) Aprofundar a utilização das tecnologias da informação.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5) Padronizar a formalização de processos burocráticos nas rotinas administrativas.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6) Modernizar a infraestrutura de TI para suportar as necessidades acadêmicas e administrativas.</w:t>
      </w:r>
    </w:p>
    <w:p>
      <w:pPr>
        <w:pStyle w:val="Normal"/>
        <w:suppressAutoHyphens w:val="true"/>
        <w:spacing w:lineRule="auto" w:line="360" w:before="0" w:after="0"/>
        <w:jc w:val="both"/>
        <w:rPr/>
      </w:pPr>
      <w:r>
        <w:rPr>
          <w:rFonts w:eastAsia="SimSun" w:cs="Arial" w:ascii="Arial" w:hAnsi="Arial"/>
          <w:sz w:val="24"/>
          <w:szCs w:val="24"/>
          <w:lang w:eastAsia="zh-CN" w:bidi="hi-IN"/>
        </w:rPr>
        <w:t>7) Informar a comunidade interna sobre as mudanças, demandas e orientações institucionais.</w:t>
      </w:r>
    </w:p>
    <w:p>
      <w:pPr>
        <w:pStyle w:val="Normal"/>
        <w:suppressAutoHyphens w:val="true"/>
        <w:spacing w:lineRule="auto" w:line="360" w:before="0" w:after="0"/>
        <w:jc w:val="both"/>
        <w:rPr/>
      </w:pPr>
      <w:r>
        <w:rPr>
          <w:rFonts w:eastAsia="SimSun" w:cs="Arial" w:ascii="Arial" w:hAnsi="Arial"/>
          <w:sz w:val="24"/>
          <w:szCs w:val="24"/>
          <w:lang w:eastAsia="zh-CN" w:bidi="hi-IN"/>
        </w:rPr>
        <w:t>8) Auxiliar as subunidades na divulgação de seus atos e demandas.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>9) A</w:t>
      </w:r>
      <w:r>
        <w:rPr>
          <w:rFonts w:eastAsia="SimSun" w:cs="Arial" w:ascii="Arial" w:hAnsi="Arial"/>
          <w:sz w:val="24"/>
          <w:szCs w:val="24"/>
          <w:lang w:eastAsia="zh-CN" w:bidi="hi-IN"/>
        </w:rPr>
        <w:t>uxiliar as subunidades e docentes quanto ao uso de instrumentos comunicacionais que beneficiem suas ações.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10) </w:t>
      </w: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Consolidar o PPG em Gerontologia de modo que consiga aumentar o conceito da CAPES de 3 para 4.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11) Desenvolver mecanismos para otimizar a obtenção de informações necessárias ao PPG em Gerontologia.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eastAsia="NSimSun" w:cs="Arial" w:ascii="Arial" w:hAnsi="Arial"/>
          <w:bCs/>
          <w:color w:val="222222"/>
          <w:sz w:val="24"/>
          <w:szCs w:val="24"/>
          <w:lang w:eastAsia="zh-CN" w:bidi="hi-IN"/>
        </w:rPr>
        <w:t>12) Desenvolver processos e rotinas de trabalho que considerem a realidade multi-campi e os diferentes níveis de ensino.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eastAsia="NSimSun" w:cs="Arial" w:ascii="Arial" w:hAnsi="Arial"/>
          <w:bCs/>
          <w:color w:val="222222"/>
          <w:sz w:val="24"/>
          <w:szCs w:val="24"/>
          <w:lang w:eastAsia="zh-CN" w:bidi="hi-IN"/>
        </w:rPr>
        <w:t>13) Desenvolver uma cultura de comprometimento organizacional.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eastAsia="NSimSun" w:cs="Arial" w:ascii="Arial" w:hAnsi="Arial"/>
          <w:bCs/>
          <w:color w:val="222222"/>
          <w:sz w:val="24"/>
          <w:szCs w:val="24"/>
          <w:lang w:eastAsia="zh-CN" w:bidi="hi-IN"/>
        </w:rPr>
        <w:t>14) Desenvolver uma gestão orçamentária transparente, eficiente e alinhada à estratégia institucional.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15) Elaborar, anualmente, a divisão orçamentária, conforme estrutura administrativa do Centro e cenário econômico da UFSM, comunicando aos interessados.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16) Manter atualizada a planilha de execução orçamentária, permitindo que haja transparência na utilização dos recursos e acesso rápido às informações orçamentárias de cada unidade e subunidade do CEFD.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17) Executar e controlar o orçamento destinado à Direção e unidades vinculadas a ela.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18) Certificar e dar os encaminhamentos necessários para o pagamento de notas fiscais e faturas que chegarem ao núcleo, o mais rápido possível, evitando assim atrasos e pagamentos de multas.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19) Manter um controle eletrônico com o NINFRA dos pedidos e empenhos feitos relacionados à PROINFRA, permitindo que cada um dos núcleos possa saber o que já foi feito, e como está o andamento das solicitações.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20) Manter os servidores do NUECO atualizados com as legislações e normativas pertinentes, através da participação em cursos de aperfeiçoamento.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21) Manter o almoxarifado da Direção sempre em dia, através da compra de materiais de expediente e higiene, do Almoxarifado Central, evitando que as atividades diárias sejam afetadas por falta desses.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22) Executar todas diárias e passagens, pertinentes ao SCDP, atentando para as prestações de contas, e fazendo as cobranças necessárias aos propostos.</w:t>
      </w:r>
    </w:p>
    <w:p>
      <w:pPr>
        <w:pStyle w:val="Normal"/>
        <w:jc w:val="both"/>
        <w:rPr/>
      </w:pPr>
      <w:r>
        <w:rPr>
          <w:rFonts w:cs="Arial" w:ascii="Arial" w:hAnsi="Arial"/>
          <w:color w:val="00000A"/>
          <w:sz w:val="24"/>
          <w:szCs w:val="24"/>
        </w:rPr>
        <w:t xml:space="preserve">23) </w:t>
      </w:r>
      <w:r>
        <w:rPr>
          <w:rFonts w:cs="Arial" w:ascii="Arial" w:hAnsi="Arial"/>
          <w:sz w:val="24"/>
          <w:szCs w:val="24"/>
        </w:rPr>
        <w:t>Zelar pela melhor aplicação dos recursos públicos, evitando desperdícios, através de aconselhamentos e disponibilização de informações necessárias.</w:t>
      </w:r>
    </w:p>
    <w:p>
      <w:pPr>
        <w:pStyle w:val="Standard"/>
        <w:jc w:val="both"/>
        <w:rPr>
          <w:rFonts w:ascii="Arial" w:hAnsi="Arial"/>
          <w:color w:val="1D2228"/>
        </w:rPr>
      </w:pPr>
      <w:r>
        <w:rPr>
          <w:rFonts w:ascii="Arial" w:hAnsi="Arial"/>
          <w:color w:val="1D2228"/>
        </w:rPr>
        <w:t>24) Trabalhar junto aos outros GAPs, Proplan e CPD no contínuo aperfeiçoamento do SIE-Web, que engloba os Portais de Projetos, de Editais e Bolsas para Projetos, entre outros.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rFonts w:ascii="Arial" w:hAnsi="Arial"/>
          <w:color w:val="1D2228"/>
        </w:rPr>
      </w:pPr>
      <w:r>
        <w:rPr>
          <w:rFonts w:ascii="Arial" w:hAnsi="Arial"/>
          <w:color w:val="1D2228"/>
        </w:rPr>
        <w:t>25) Buscar sempre a maior digitalização dos processos e rotinas relativas aos projetos.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rFonts w:ascii="Arial" w:hAnsi="Arial"/>
          <w:color w:val="1D2228"/>
        </w:rPr>
      </w:pPr>
      <w:r>
        <w:rPr>
          <w:rFonts w:ascii="Arial" w:hAnsi="Arial"/>
          <w:color w:val="1D2228"/>
        </w:rPr>
        <w:t>26) Mobilizar docentes responsáveis pelos projetos para que mantenham atualizados os dados de Registro e Avaliação dos Projetos.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>
          <w:rFonts w:ascii="Arial" w:hAnsi="Arial"/>
          <w:color w:val="1D2228"/>
        </w:rPr>
        <w:t>27) Representar o CEFD nos fóruns e demais comissões representativas em nível institucional;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color w:val="00000A"/>
          <w:sz w:val="24"/>
          <w:szCs w:val="24"/>
        </w:rPr>
        <w:t>Desenvolvimento Local, Regional e Nacional (D6)</w:t>
      </w:r>
    </w:p>
    <w:p>
      <w:pPr>
        <w:pStyle w:val="Normal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</w:r>
    </w:p>
    <w:p>
      <w:pPr>
        <w:pStyle w:val="Normal"/>
        <w:ind w:firstLine="708"/>
        <w:rPr/>
      </w:pPr>
      <w:r>
        <w:rPr>
          <w:rFonts w:cs="Arial" w:ascii="Arial" w:hAnsi="Arial"/>
          <w:sz w:val="24"/>
          <w:szCs w:val="24"/>
        </w:rPr>
        <w:t xml:space="preserve">Para o </w:t>
      </w:r>
      <w:r>
        <w:rPr>
          <w:rFonts w:cs="Arial" w:ascii="Arial" w:hAnsi="Arial"/>
          <w:color w:val="00000A"/>
          <w:sz w:val="24"/>
          <w:szCs w:val="24"/>
        </w:rPr>
        <w:t>Desenvolvimento Local, Regional e</w:t>
      </w:r>
      <w:r>
        <w:rPr>
          <w:rFonts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Nacional</w:t>
      </w:r>
      <w:r>
        <w:rPr>
          <w:rFonts w:cs="Arial" w:ascii="Arial" w:hAnsi="Arial"/>
          <w:sz w:val="24"/>
          <w:szCs w:val="24"/>
        </w:rPr>
        <w:t xml:space="preserve"> foram propostos 14 objetivos conforme abaixo.</w:t>
      </w:r>
    </w:p>
    <w:p>
      <w:pPr>
        <w:pStyle w:val="Normal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1) Identificar, construir e manter relações com lideranças locais e regionais, buscando aproximar a Universidade e os diferentes segmentos da sociedade.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2) Identificar e aprofundar ações de pesquisa entre o CEFD com instituições públicas e privadas como academias, ONGS, Clubes, Associações comunitárias, Ligas, Instituições de Ensino, Prefeituras, entre outros.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3) Fomentar o planejamento e a realização de eventos que visem o compartilhar de saberes entre as diferentes áreas do CEFD a partir do ensino, da pesquisa e da extensão: esportivos, artísticos e culturais.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 xml:space="preserve">4) Oportunizar o diálogo com autores de referência nas áreas de atuação do CEFD a partir da realização de eventos 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5) Incentivar e ampliar programas de formação continuada de Professores das redes pública e privada.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6) Incentivar a participação das equipes esportivas e grupos e Companhias de Dança em eventos nacionais.</w:t>
      </w:r>
    </w:p>
    <w:p>
      <w:pPr>
        <w:pStyle w:val="Normal"/>
        <w:jc w:val="both"/>
        <w:rPr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7) Aprofundar ações, em diferentes níveis, em parceria e diálogo com instituições da região central do RS.</w:t>
      </w:r>
    </w:p>
    <w:p>
      <w:pPr>
        <w:pStyle w:val="Normal"/>
        <w:suppressAutoHyphens w:val="true"/>
        <w:spacing w:lineRule="auto" w:line="240" w:before="0" w:after="0"/>
        <w:jc w:val="both"/>
        <w:rPr>
          <w:color w:val="00000A"/>
        </w:rPr>
      </w:pP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 xml:space="preserve">8) Desenvolver meios específicos de comunicação e </w:t>
      </w:r>
      <w:r>
        <w:rPr>
          <w:rFonts w:eastAsia="SimSun" w:cs="Arial" w:ascii="Arial" w:hAnsi="Arial"/>
          <w:i/>
          <w:iCs/>
          <w:color w:val="00000A"/>
          <w:sz w:val="24"/>
          <w:szCs w:val="24"/>
          <w:lang w:eastAsia="zh-CN" w:bidi="hi-IN"/>
        </w:rPr>
        <w:t>feedback</w:t>
      </w:r>
      <w:r>
        <w:rPr>
          <w:rFonts w:eastAsia="SimSun" w:cs="Arial" w:ascii="Arial" w:hAnsi="Arial"/>
          <w:color w:val="00000A"/>
          <w:sz w:val="24"/>
          <w:szCs w:val="24"/>
          <w:lang w:eastAsia="zh-CN" w:bidi="hi-IN"/>
        </w:rPr>
        <w:t xml:space="preserve"> com a comunidade externa  (visando a avaliar a atuação do CEFD e coletar as demandas que fomentarão futuras ações).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Arial" w:hAnsi="Arial" w:eastAsia="Times New Roman" w:cs="Arial"/>
          <w:color w:val="00000A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color w:val="00000A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9) Incentivar a realização de projetos de extensão de âmbito local.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color w:val="00000A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10) Incentivar projetos de Pesquisa de âmbito regional.</w:t>
      </w:r>
    </w:p>
    <w:p>
      <w:pPr>
        <w:pStyle w:val="Normal"/>
        <w:spacing w:lineRule="auto" w:line="360"/>
        <w:jc w:val="both"/>
        <w:rPr>
          <w:color w:val="00000A"/>
        </w:rPr>
      </w:pP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11) Promover eventos que propiciem transferência de conhecimento entre pesquisadores do Brasil.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12) Apoiar as iniciativas do CEFD para ações extensionistas.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13) Buscar fontes de financiamentos para alavancar e aperfeiçoar o histórico extensionista do CEFD.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>
          <w:rFonts w:ascii="Arial" w:hAnsi="Arial"/>
          <w:color w:val="1D2228"/>
        </w:rPr>
        <w:t>14) Trabalhar pela reabertura dos diversos projetos e ações voltados para a comunidade, que foram desativados com o fim da ADUFSM.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>Gestão Ambiental (D7)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708"/>
        <w:rPr/>
      </w:pPr>
      <w:r>
        <w:rPr>
          <w:rFonts w:cs="Arial" w:ascii="Arial" w:hAnsi="Arial"/>
          <w:sz w:val="24"/>
          <w:szCs w:val="24"/>
        </w:rPr>
        <w:t>Para a Gestão Ambiental foram propostos 14 objetivos conforme abaixo.</w:t>
      </w:r>
    </w:p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A"/>
          <w:sz w:val="24"/>
          <w:szCs w:val="24"/>
        </w:rPr>
        <w:t>1) Estimular o desenvolvimento da cultura organizacional voltada para a sustentabilidade e institucionalização e divulgação das ações e práticas atualmente desenvolvidas.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2) Estimular a realização de práticas corporais e esportivas relacionadas ao Meio Ambiente, Ecologia, Saúde Ambiental, Sustentabilidade em ações de Ensino, Pesquisa e Extensão.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3) Fomentar a inserção das temáticas ambientais nos Projetos Pedagógicos dos Cursos, incluindo atividades teóricas e práticas, aproveitando os conhecimentos existentes no CEFD.</w:t>
      </w:r>
    </w:p>
    <w:p>
      <w:pPr>
        <w:pStyle w:val="Normal"/>
        <w:jc w:val="both"/>
        <w:rPr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 xml:space="preserve">4) Proporcionar a ampliação e institucionalização dos projetos voltados para a racionalização dos usos dos recursos naturais e conscientização sobre práticas sustentáveis. </w:t>
      </w:r>
    </w:p>
    <w:p>
      <w:pPr>
        <w:pStyle w:val="Normal"/>
        <w:suppressAutoHyphens w:val="true"/>
        <w:spacing w:lineRule="auto" w:line="360" w:before="0" w:after="0"/>
        <w:jc w:val="both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>5) Promover campanhas informativas e de estímulo a práticas sustentáveis pela comunidade do CEFD.</w:t>
      </w:r>
    </w:p>
    <w:p>
      <w:pPr>
        <w:pStyle w:val="Normal"/>
        <w:suppressAutoHyphens w:val="true"/>
        <w:spacing w:lineRule="auto" w:line="360" w:before="0" w:after="0"/>
        <w:jc w:val="both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>6) divulgar à comunidade interna do CEFD ações benéficas à gestão ambiental, internas e externas à UFSM.</w:t>
      </w:r>
    </w:p>
    <w:p>
      <w:pPr>
        <w:pStyle w:val="Normal"/>
        <w:suppressAutoHyphens w:val="true"/>
        <w:spacing w:lineRule="auto" w:line="360" w:before="0" w:after="0"/>
        <w:jc w:val="both"/>
        <w:rPr>
          <w:sz w:val="24"/>
          <w:szCs w:val="24"/>
        </w:rPr>
      </w:pPr>
      <w:r>
        <w:rPr>
          <w:rFonts w:eastAsia="SimSun" w:cs="Arial" w:ascii="Arial" w:hAnsi="Arial"/>
          <w:sz w:val="24"/>
          <w:szCs w:val="24"/>
          <w:lang w:eastAsia="zh-CN" w:bidi="hi-IN"/>
        </w:rPr>
        <w:t>7) alinhar a atuação do NDI aos princípios de sustentabilidade sob todos os aspectos.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8) Diminuir o consumo de materiais que agridam o meio ambiente.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9) Incentivar o uso de tecnologias da informação para a transferência do conteúdo didático.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sz w:val="24"/>
          <w:szCs w:val="24"/>
        </w:rPr>
      </w:pPr>
      <w:r>
        <w:rPr>
          <w:rFonts w:eastAsia="NSimSun" w:cs="Arial" w:ascii="Arial" w:hAnsi="Arial"/>
          <w:bCs/>
          <w:color w:val="222222"/>
          <w:sz w:val="24"/>
          <w:szCs w:val="24"/>
          <w:lang w:eastAsia="zh-CN" w:bidi="hi-IN"/>
        </w:rPr>
        <w:t>10) Manter processos e rotinas que valorizem os diferentes aspectos da gestão ambiental.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sz w:val="24"/>
          <w:szCs w:val="24"/>
        </w:rPr>
      </w:pPr>
      <w:r>
        <w:rPr>
          <w:rFonts w:eastAsia="NSimSun" w:cs="Arial" w:ascii="Arial" w:hAnsi="Arial"/>
          <w:bCs/>
          <w:color w:val="222222"/>
          <w:sz w:val="24"/>
          <w:szCs w:val="24"/>
          <w:lang w:eastAsia="zh-CN" w:bidi="hi-IN"/>
        </w:rPr>
        <w:t>11) Disseminar uma cultura ética em relação à inclusão, à diversidade e ao meio-ambiente.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12) Utilizar, mais e melhor, os meios eletrônicos de comunicação e armazenamento, evitando o desperdício de papel com impressos.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13) Primar pela aquisição de equipamentos e materiais que sejam ecologicamente corretos ou que promovam a sustentabilidade. 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14) </w:t>
      </w:r>
      <w:r>
        <w:rPr>
          <w:rFonts w:ascii="Arial" w:hAnsi="Arial"/>
          <w:color w:val="1D2228"/>
          <w:sz w:val="24"/>
          <w:szCs w:val="24"/>
        </w:rPr>
        <w:t>Colaborar e, junto aos colegas, buscar desenvolver ações para evitar ou reduzir o desperdício de recursos;</w:t>
      </w:r>
    </w:p>
    <w:p>
      <w:pPr>
        <w:pStyle w:val="Standard"/>
        <w:widowControl w:val="false"/>
        <w:tabs>
          <w:tab w:val="left" w:pos="720" w:leader="none"/>
        </w:tabs>
        <w:spacing w:lineRule="exact" w:line="240" w:before="0" w:after="160"/>
        <w:jc w:val="both"/>
        <w:rPr>
          <w:rFonts w:ascii="Arial" w:hAnsi="Arial" w:cs="Arial"/>
          <w:color w:val="1D2228"/>
        </w:rPr>
      </w:pPr>
      <w:r>
        <w:rPr>
          <w:rFonts w:cs="Arial" w:ascii="Arial" w:hAnsi="Arial"/>
          <w:color w:val="1D2228"/>
        </w:rPr>
        <w:t>15) Incentivar o bom uso dos materiais, equipamentos e estrutura do CEFD.</w:t>
      </w:r>
    </w:p>
    <w:p>
      <w:pPr>
        <w:pStyle w:val="Standard"/>
        <w:widowControl w:val="false"/>
        <w:tabs>
          <w:tab w:val="left" w:pos="720" w:leader="none"/>
        </w:tabs>
        <w:spacing w:lineRule="exact" w:line="240" w:before="0" w:after="160"/>
        <w:jc w:val="both"/>
        <w:rPr>
          <w:rFonts w:ascii="Arial" w:hAnsi="Arial" w:cs="Arial"/>
          <w:color w:val="1D2228"/>
        </w:rPr>
      </w:pPr>
      <w:r>
        <w:rPr>
          <w:rFonts w:cs="Arial" w:ascii="Arial" w:hAnsi="Arial"/>
          <w:color w:val="1D2228"/>
        </w:rPr>
      </w:r>
    </w:p>
    <w:p>
      <w:pPr>
        <w:pStyle w:val="Normal"/>
        <w:widowControl w:val="false"/>
        <w:tabs>
          <w:tab w:val="left" w:pos="720" w:leader="none"/>
        </w:tabs>
        <w:suppressAutoHyphens w:val="true"/>
        <w:spacing w:lineRule="exact" w:line="24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2.4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QUARTA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FASE </w:t>
      </w:r>
      <w:r>
        <w:rPr>
          <w:rFonts w:cs="Arial" w:ascii="Arial" w:hAnsi="Arial"/>
          <w:bCs/>
          <w:color w:val="000000"/>
          <w:sz w:val="24"/>
          <w:szCs w:val="24"/>
        </w:rPr>
        <w:t>–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</w:rPr>
        <w:t>Priorização de objetivos</w:t>
      </w:r>
    </w:p>
    <w:p>
      <w:pPr>
        <w:pStyle w:val="Standard"/>
        <w:widowControl w:val="false"/>
        <w:tabs>
          <w:tab w:val="left" w:pos="720" w:leader="none"/>
        </w:tabs>
        <w:spacing w:lineRule="exact" w:line="240" w:before="0" w:after="1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/>
      </w:pPr>
      <w:r>
        <w:rPr>
          <w:rFonts w:cs="Arial" w:ascii="Arial" w:hAnsi="Arial"/>
          <w:color w:val="000000"/>
        </w:rPr>
        <w:tab/>
        <w:t>Após o processo de consulta on-line, a comunidade acadêmica do CEFD elegeu os cinco objetivos prioritários em cada um dos sete Desafios institucionais. Assim, após a unificação de todos os objetivos propostos pelas 10 subunidades o CEFD, a Comissão apresentou ao Conselho de Centro na reunião do mês de setembro de 2019, a lista com os 35 objetivos priorizados para os sete desafios do PDU, confirme abaixo.</w:t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</w:rPr>
        <w:t xml:space="preserve">Desafio 1: </w:t>
      </w:r>
      <w:r>
        <w:rPr>
          <w:rFonts w:cs="Arial" w:ascii="Arial" w:hAnsi="Arial"/>
          <w:color w:val="000000"/>
          <w:u w:val="single"/>
        </w:rPr>
        <w:t>Internacionalização</w:t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widowControl w:val="false"/>
        <w:numPr>
          <w:ilvl w:val="0"/>
          <w:numId w:val="1"/>
        </w:numPr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Estimular a qualificação e formação continuada de alunos, docentes e técnicos em Programas no exterior.</w:t>
      </w:r>
    </w:p>
    <w:p>
      <w:pPr>
        <w:pStyle w:val="Standard"/>
        <w:widowControl w:val="false"/>
        <w:numPr>
          <w:ilvl w:val="0"/>
          <w:numId w:val="1"/>
        </w:numPr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Apoiar iniciativas e projetos de pesquisa, ensino ou extensão que possam alcançar relevância internacional.</w:t>
      </w:r>
    </w:p>
    <w:p>
      <w:pPr>
        <w:pStyle w:val="Standard"/>
        <w:widowControl w:val="false"/>
        <w:numPr>
          <w:ilvl w:val="0"/>
          <w:numId w:val="1"/>
        </w:numPr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Buscar o estabelecimento de convênios de ensino, pesquisa e extensão a partir da participação em eventos internacionais, publicações, bancas, entre outros.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Realizar disciplinas e cursos de pequena duração com professores visitantes de universidades dos Estados Unidos, Canadá, Japão, Portugal e Espanha.</w:t>
      </w:r>
    </w:p>
    <w:p>
      <w:pPr>
        <w:pStyle w:val="Standard"/>
        <w:widowControl w:val="false"/>
        <w:numPr>
          <w:ilvl w:val="0"/>
          <w:numId w:val="1"/>
        </w:numPr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color w:val="000000"/>
        </w:rPr>
      </w:pPr>
      <w:r>
        <w:rPr>
          <w:rFonts w:eastAsia="Times New Roman" w:cs="Arial" w:ascii="Arial" w:hAnsi="Arial"/>
          <w:lang w:eastAsia="pt-BR"/>
        </w:rPr>
        <w:t>Buscar colaborações em pesquisas com instituições estrangeiras.</w:t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2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>
          <w:rFonts w:ascii="Arial" w:hAnsi="Arial" w:eastAsia="Times New Roman" w:cs="Arial"/>
          <w:u w:val="single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Desafio 2: </w:t>
      </w:r>
      <w:r>
        <w:rPr>
          <w:rFonts w:eastAsia="Times New Roman" w:cs="Arial" w:ascii="Arial" w:hAnsi="Arial"/>
          <w:u w:val="single"/>
          <w:lang w:eastAsia="pt-BR"/>
        </w:rPr>
        <w:t>Educação inovadora e Transformadora com Excelência acadêmica</w:t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Standard"/>
        <w:widowControl w:val="false"/>
        <w:numPr>
          <w:ilvl w:val="0"/>
          <w:numId w:val="2"/>
        </w:numPr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Estimular parcerias com outros Cursos e Centros a fim de propiciar ações compartilhadas e interdisciplinares.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jc w:val="both"/>
        <w:textAlignment w:val="baseline"/>
        <w:rPr>
          <w:rFonts w:ascii="Arial" w:hAnsi="Arial" w:eastAsia="NSimSun" w:cs="Arial"/>
          <w:bCs/>
          <w:color w:val="00000A"/>
          <w:sz w:val="24"/>
          <w:szCs w:val="24"/>
          <w:lang w:eastAsia="zh-CN" w:bidi="hi-IN"/>
        </w:rPr>
      </w:pPr>
      <w:r>
        <w:rPr>
          <w:rFonts w:eastAsia="NSimSun" w:cs="Arial" w:ascii="Arial" w:hAnsi="Arial"/>
          <w:bCs/>
          <w:color w:val="00000A"/>
          <w:sz w:val="24"/>
          <w:szCs w:val="24"/>
          <w:lang w:eastAsia="zh-CN" w:bidi="hi-IN"/>
        </w:rPr>
        <w:t>Oferecer uma infraestrutura de apoio qualificada e de acordo com as necessidades de cada área de conhecimento.</w:t>
      </w:r>
    </w:p>
    <w:p>
      <w:pPr>
        <w:pStyle w:val="ListParagraph"/>
        <w:suppressAutoHyphens w:val="true"/>
        <w:spacing w:lineRule="auto" w:line="240" w:before="0" w:after="0"/>
        <w:ind w:left="1080" w:hanging="0"/>
        <w:jc w:val="both"/>
        <w:textAlignment w:val="baseline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 xml:space="preserve">Estimular e aprimorar as parcerias entre os Cursos de Graduação e Pós-graduação do CEFD. </w:t>
      </w:r>
    </w:p>
    <w:p>
      <w:pPr>
        <w:pStyle w:val="ListParagrap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Estimular ações vinculadas a Temáticas Transversais e interdisciplinares como Meio Ambiente, Relações Étnico-raciais, Direitos Humanos, relações de Gênero, Sexualidade, Geração, Pessoas com deficiência, população em situação de vulnerabilidade social e pessoas com privação de liberdade.</w:t>
      </w:r>
    </w:p>
    <w:p>
      <w:pPr>
        <w:pStyle w:val="ListParagraph"/>
        <w:ind w:left="1080" w:hanging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Aproximar a comunidade do CEFD às ações esportivas, artísticas e culturais de projetos em desenvolvimento pelo CEFD.</w:t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108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hanging="0"/>
        <w:jc w:val="both"/>
        <w:rPr/>
      </w:pPr>
      <w:r>
        <w:rPr>
          <w:rFonts w:cs="Arial" w:ascii="Arial" w:hAnsi="Arial"/>
          <w:color w:val="000000"/>
        </w:rPr>
        <w:t xml:space="preserve">Desafio 3: </w:t>
      </w:r>
      <w:r>
        <w:rPr>
          <w:rFonts w:cs="Arial" w:ascii="Arial" w:hAnsi="Arial"/>
          <w:color w:val="000000"/>
          <w:u w:val="single"/>
        </w:rPr>
        <w:t>Inclusão Social</w:t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1080" w:hanging="0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Capacitar Docentes, discentes e técnicos administrativos nas áreas de Pessoas com deficiência (PCD), Envelhecimento, Gênero, Sexualidade, lei 2003 (afro e índio).</w:t>
      </w:r>
    </w:p>
    <w:p>
      <w:pPr>
        <w:pStyle w:val="ListParagrap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Qualificar a infraestrutura de engenharia e logística respeitando as premissas de acessibilidade, respeito ao Meio Ambiente e segurança.</w:t>
      </w:r>
    </w:p>
    <w:p>
      <w:pPr>
        <w:pStyle w:val="ListParagraph"/>
        <w:tabs>
          <w:tab w:val="left" w:pos="1245" w:leader="none"/>
        </w:tabs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ab/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1D2228"/>
          <w:sz w:val="24"/>
          <w:szCs w:val="24"/>
        </w:rPr>
        <w:t>Buscar oportunidades junto aos diversos órgãos e/ou instituições que apoiem a extensão universitária no Rio Grande do Sul e no Brasil.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 xml:space="preserve">Ampliar a participação de alunos da comunidade do CEFD em projetos esportivos, artísticos, culturais. </w:t>
      </w:r>
    </w:p>
    <w:p>
      <w:pPr>
        <w:pStyle w:val="ListParagrap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Possibilitar ações que contemplem crianças e adolescentes em situação de vulnerabilidade social.</w:t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2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2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</w:rPr>
        <w:t xml:space="preserve">Desafio 4: </w:t>
      </w:r>
      <w:r>
        <w:rPr>
          <w:rFonts w:cs="Arial" w:ascii="Arial" w:hAnsi="Arial"/>
          <w:color w:val="000000"/>
          <w:u w:val="single"/>
        </w:rPr>
        <w:t>Inovação, Geração de conhecimento e Transferência de Tecnologia</w:t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Buscar oportunidades de financiamento em instituições, ministérios, agências de fomento e empresas que ofereçam chamadas públicas para qualificação dos laboratórios, custeio de pesquisas, bem como, bolsas para pesquisadores.</w:t>
      </w:r>
    </w:p>
    <w:p>
      <w:pPr>
        <w:pStyle w:val="ListParagraph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Qualificar e ampliar as ações de fomento à pesquisa com parcerias e convênios.</w:t>
      </w:r>
    </w:p>
    <w:p>
      <w:pPr>
        <w:pStyle w:val="ListParagrap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Ampliar o uso de tecnologias em diferentes processos institucionais.</w:t>
      </w:r>
    </w:p>
    <w:p>
      <w:pPr>
        <w:pStyle w:val="ListParagrap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360" w:before="0" w:after="0"/>
        <w:jc w:val="both"/>
        <w:textAlignment w:val="baseline"/>
        <w:rPr>
          <w:rFonts w:ascii="Arial" w:hAnsi="Arial" w:cs="Arial"/>
          <w:color w:val="00000A"/>
          <w:sz w:val="24"/>
          <w:szCs w:val="24"/>
        </w:rPr>
      </w:pPr>
      <w:r>
        <w:rPr>
          <w:rFonts w:eastAsia="NSimSun" w:cs="Arial" w:ascii="Arial" w:hAnsi="Arial"/>
          <w:bCs/>
          <w:color w:val="00000A"/>
          <w:sz w:val="24"/>
          <w:szCs w:val="24"/>
          <w:lang w:eastAsia="zh-CN" w:bidi="hi-IN"/>
        </w:rPr>
        <w:t>Oferecer uma infraestrutura de apoio qualificada e de acordo com as necessidades de cada área de conhecimento.</w:t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 xml:space="preserve">Qualificar a estrutura e gestão da Revista científica do CEFD. </w:t>
      </w:r>
    </w:p>
    <w:p>
      <w:pPr>
        <w:pStyle w:val="ListParagraph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ind w:left="0" w:hanging="0"/>
        <w:jc w:val="both"/>
        <w:rPr>
          <w:rFonts w:ascii="Arial" w:hAnsi="Arial" w:cs="Arial"/>
          <w:color w:val="00000A"/>
          <w:sz w:val="24"/>
          <w:szCs w:val="24"/>
          <w:u w:val="single"/>
        </w:rPr>
      </w:pPr>
      <w:r>
        <w:rPr>
          <w:rFonts w:cs="Arial" w:ascii="Arial" w:hAnsi="Arial"/>
          <w:color w:val="00000A"/>
          <w:sz w:val="24"/>
          <w:szCs w:val="24"/>
        </w:rPr>
        <w:t xml:space="preserve">Desafio 5: </w:t>
      </w:r>
      <w:r>
        <w:rPr>
          <w:rFonts w:cs="Arial" w:ascii="Arial" w:hAnsi="Arial"/>
          <w:color w:val="00000A"/>
          <w:sz w:val="24"/>
          <w:szCs w:val="24"/>
          <w:u w:val="single"/>
        </w:rPr>
        <w:t>Modernização e Desenvolvimento organizacional</w:t>
      </w:r>
    </w:p>
    <w:p>
      <w:pPr>
        <w:pStyle w:val="ListParagraph"/>
        <w:ind w:left="0" w:hanging="0"/>
        <w:jc w:val="both"/>
        <w:rPr>
          <w:rFonts w:ascii="Arial" w:hAnsi="Arial" w:cs="Arial"/>
          <w:color w:val="00000A"/>
          <w:sz w:val="24"/>
          <w:szCs w:val="24"/>
          <w:u w:val="single"/>
        </w:rPr>
      </w:pPr>
      <w:r>
        <w:rPr>
          <w:rFonts w:cs="Arial" w:ascii="Arial" w:hAnsi="Arial"/>
          <w:color w:val="00000A"/>
          <w:sz w:val="24"/>
          <w:szCs w:val="24"/>
          <w:u w:val="single"/>
        </w:rPr>
      </w:r>
    </w:p>
    <w:p>
      <w:pPr>
        <w:pStyle w:val="ListParagraph"/>
        <w:ind w:left="0" w:hanging="0"/>
        <w:jc w:val="both"/>
        <w:rPr>
          <w:rFonts w:ascii="Arial" w:hAnsi="Arial" w:cs="Arial"/>
          <w:color w:val="00000A"/>
          <w:sz w:val="24"/>
          <w:szCs w:val="24"/>
          <w:u w:val="single"/>
        </w:rPr>
      </w:pPr>
      <w:r>
        <w:rPr>
          <w:rFonts w:cs="Arial" w:ascii="Arial" w:hAnsi="Arial"/>
          <w:color w:val="00000A"/>
          <w:sz w:val="24"/>
          <w:szCs w:val="24"/>
          <w:u w:val="single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Realizar levantamento de necessidades de acessibilidade e sustentabilidade.</w:t>
      </w:r>
    </w:p>
    <w:p>
      <w:pPr>
        <w:pStyle w:val="Normal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Modernizar a infraestrutura de TI para suportar as necessidades acadêmicas e administrativas.</w:t>
      </w:r>
    </w:p>
    <w:p>
      <w:pPr>
        <w:pStyle w:val="ListParagraph"/>
        <w:ind w:left="786" w:hanging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Zelar pela melhor aplicação dos recursos públicos, evitando desperdícios, através de aconselhamentos e disponibilização de informações necessárias.</w:t>
      </w:r>
    </w:p>
    <w:p>
      <w:pPr>
        <w:pStyle w:val="ListParagrap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Aprofundar a utilização das tecnologias da informação.</w:t>
      </w:r>
    </w:p>
    <w:p>
      <w:pPr>
        <w:pStyle w:val="ListParagrap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Manter atualizada a planilha de execução orçamentária, permitindo que haja transparência na utilização dos recursos e acesso rápido às informações orçamentárias de cada unidade e subunidade do CEFD.</w:t>
      </w:r>
    </w:p>
    <w:p>
      <w:pPr>
        <w:pStyle w:val="ListParagraph"/>
        <w:ind w:left="786" w:hanging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ind w:left="786" w:hanging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A"/>
          <w:sz w:val="24"/>
          <w:szCs w:val="24"/>
          <w:u w:val="single"/>
        </w:rPr>
      </w:pPr>
      <w:r>
        <w:rPr>
          <w:rFonts w:cs="Arial" w:ascii="Arial" w:hAnsi="Arial"/>
          <w:color w:val="00000A"/>
          <w:sz w:val="24"/>
          <w:szCs w:val="24"/>
        </w:rPr>
        <w:t xml:space="preserve">Desafio 6: </w:t>
      </w:r>
      <w:r>
        <w:rPr>
          <w:rFonts w:cs="Arial" w:ascii="Arial" w:hAnsi="Arial"/>
          <w:color w:val="00000A"/>
          <w:sz w:val="24"/>
          <w:szCs w:val="24"/>
          <w:u w:val="single"/>
        </w:rPr>
        <w:t>Desenvolvimento Local, Regional e Nacional</w:t>
      </w:r>
    </w:p>
    <w:p>
      <w:pPr>
        <w:pStyle w:val="Normal"/>
        <w:jc w:val="both"/>
        <w:rPr>
          <w:rFonts w:ascii="Arial" w:hAnsi="Arial" w:cs="Arial"/>
          <w:color w:val="00000A"/>
          <w:sz w:val="24"/>
          <w:szCs w:val="24"/>
          <w:u w:val="single"/>
        </w:rPr>
      </w:pPr>
      <w:r>
        <w:rPr>
          <w:rFonts w:cs="Arial" w:ascii="Arial" w:hAnsi="Arial"/>
          <w:color w:val="00000A"/>
          <w:sz w:val="24"/>
          <w:szCs w:val="24"/>
          <w:u w:val="single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Identificar e aprofundar ações de pesquisa entre o CEFD com instituições públicas e privadas como academias, ONGS, Clubes, Associações comunitárias, Ligas, Instituições de Ensino, Prefeituras, entre outros.</w:t>
      </w:r>
    </w:p>
    <w:p>
      <w:pPr>
        <w:pStyle w:val="ListParagraph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Identificar, construir e manter relações com lideranças locais e regionais, buscando aproximar a Universidade e os diferentes segmentos da sociedade.</w:t>
      </w:r>
    </w:p>
    <w:p>
      <w:pPr>
        <w:pStyle w:val="ListParagrap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Fomentar o planejamento e a realização de eventos que visem o compartilhar de saberes entre as diferentes áreas do CEFD a partir do ensino, da pesquisa e da extensão: esportivos, artísticos e culturais.</w:t>
      </w:r>
    </w:p>
    <w:p>
      <w:pPr>
        <w:pStyle w:val="ListParagrap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Standard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  <w:color w:val="1D2228"/>
        </w:rPr>
        <w:t>Trabalhar pela reabertura dos diversos projetos e ações voltados para a comunidade, que foram desativados com o fim da ADUFSM.</w:t>
      </w:r>
    </w:p>
    <w:p>
      <w:pPr>
        <w:pStyle w:val="Standard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Incentivar a participação das equipes esportivas e grupos e Companhias de Dança em eventos nacionais.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Desafio 7:  </w:t>
      </w:r>
      <w:r>
        <w:rPr>
          <w:rFonts w:cs="Arial" w:ascii="Arial" w:hAnsi="Arial"/>
          <w:sz w:val="24"/>
          <w:szCs w:val="24"/>
          <w:u w:val="single"/>
        </w:rPr>
        <w:t>Gestão Ambiental</w:t>
      </w:r>
    </w:p>
    <w:p>
      <w:pPr>
        <w:pStyle w:val="ListParagraph"/>
        <w:ind w:left="720" w:hanging="72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Estimular o desenvolvimento da cultura organizacional voltada para a sustentabilidade e institucionalização e divulgação das ações e práticas atualmente desenvolvidas.</w:t>
      </w:r>
    </w:p>
    <w:p>
      <w:pPr>
        <w:pStyle w:val="ListParagraph"/>
        <w:ind w:left="1080" w:hanging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pt-BR"/>
        </w:rPr>
        <w:t>Diminuir o consumo de materiais que agridam o meio ambiente.</w:t>
      </w:r>
    </w:p>
    <w:p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Estimular a realização de práticas corporais e esportivas relacionadas ao Meio Ambiente, Ecologia, Saúde Ambiental, Sustentabilidade em ações de Ensino, Pesquisa e Extensão.</w:t>
      </w:r>
    </w:p>
    <w:p>
      <w:pPr>
        <w:pStyle w:val="ListParagraph"/>
        <w:ind w:left="1080" w:hanging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ind w:left="1080" w:hanging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Proporcionar a ampliação e institucionalização dos projetos voltados para a racionalização dos usos dos recursos naturais e conscientização sobre práticas sustentáveis.</w:t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widowControl w:val="false"/>
        <w:numPr>
          <w:ilvl w:val="0"/>
          <w:numId w:val="7"/>
        </w:numPr>
        <w:tabs>
          <w:tab w:val="left" w:pos="720" w:leader="none"/>
        </w:tabs>
        <w:spacing w:lineRule="exact" w:line="240" w:before="0" w:after="160"/>
        <w:jc w:val="both"/>
        <w:rPr>
          <w:rFonts w:ascii="Arial" w:hAnsi="Arial" w:cs="Arial"/>
          <w:color w:val="1D2228"/>
        </w:rPr>
      </w:pPr>
      <w:r>
        <w:rPr>
          <w:rFonts w:cs="Arial" w:ascii="Arial" w:hAnsi="Arial"/>
          <w:color w:val="1D2228"/>
        </w:rPr>
        <w:t>Incentivar o bom uso dos materiais, equipamentos e estrutura do CEFD.</w:t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b/>
          <w:bCs/>
          <w:color w:val="00000A"/>
          <w:sz w:val="24"/>
          <w:szCs w:val="24"/>
        </w:rPr>
        <w:t>2.5 QUINTA FASE – PLANOS DE AÇÃO E SELEÇÃO DE INDICADORES</w:t>
      </w:r>
    </w:p>
    <w:p>
      <w:pPr>
        <w:pStyle w:val="Caption"/>
        <w:rPr>
          <w:b/>
          <w:b/>
          <w:bCs/>
        </w:rPr>
      </w:pPr>
      <w:r>
        <w:rPr>
          <w:rFonts w:cs="Arial" w:ascii="Arial" w:hAnsi="Arial"/>
          <w:b/>
          <w:bCs/>
          <w:i w:val="false"/>
          <w:u w:val="single"/>
        </w:rPr>
        <w:t xml:space="preserve">Internacionalização </w:t>
      </w:r>
      <w:r>
        <w:rPr>
          <w:rFonts w:cs="Arial" w:ascii="Arial" w:hAnsi="Arial"/>
          <w:b/>
          <w:bCs/>
          <w:i w:val="false"/>
        </w:rPr>
        <w:t>(D1)</w:t>
      </w:r>
    </w:p>
    <w:p>
      <w:pPr>
        <w:pStyle w:val="Caption"/>
        <w:rPr/>
      </w:pPr>
      <w:r>
        <w:rPr/>
      </w:r>
    </w:p>
    <w:tbl>
      <w:tblPr>
        <w:tblStyle w:val="Tabelacomgrade"/>
        <w:tblW w:w="7934" w:type="dxa"/>
        <w:jc w:val="left"/>
        <w:tblInd w:w="770" w:type="dxa"/>
        <w:tblBorders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61"/>
        <w:gridCol w:w="2628"/>
        <w:gridCol w:w="2645"/>
      </w:tblGrid>
      <w:tr>
        <w:trPr/>
        <w:tc>
          <w:tcPr>
            <w:tcW w:w="2661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</w:rPr>
              <w:t>OBJETIVOS</w:t>
            </w:r>
          </w:p>
        </w:tc>
        <w:tc>
          <w:tcPr>
            <w:tcW w:w="2628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</w:rPr>
              <w:t>AÇÕES</w:t>
            </w:r>
          </w:p>
        </w:tc>
        <w:tc>
          <w:tcPr>
            <w:tcW w:w="2645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</w:rPr>
              <w:t>INDICADORES</w:t>
            </w:r>
          </w:p>
        </w:tc>
      </w:tr>
      <w:tr>
        <w:trPr/>
        <w:tc>
          <w:tcPr>
            <w:tcW w:w="2661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sz w:val="20"/>
                <w:szCs w:val="20"/>
              </w:rPr>
              <w:t>1) Estimular a qualificação e formação continuada de alunos, docentes e técnicos em Programas no exterior.</w:t>
            </w:r>
          </w:p>
        </w:tc>
        <w:tc>
          <w:tcPr>
            <w:tcW w:w="2628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Organização de Seminário semestralmente: “CEFD no exterior” em parceria SAI, PROGEP,</w:t>
            </w:r>
            <w:bookmarkStart w:id="3" w:name="_GoBack1"/>
            <w:bookmarkEnd w:id="3"/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 PRPGP, UAP.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Solicitar um Plano de ação de cada subunidade em relação a internacionalização.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Auxílio financeiro a docentes para apresentar trabalhos em eventos  no exterior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Criação de um setor de divulgação e sistematização das ações e intercâmbios internacionais junto ao GAP;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sz w:val="20"/>
                <w:szCs w:val="20"/>
              </w:rPr>
              <w:t>Premiar o(s) melhor(es) aluno(s) com uma passagem para intercâmbio acadêmico para um dos países com que o CEFD mantém convênio.</w:t>
            </w:r>
          </w:p>
        </w:tc>
        <w:tc>
          <w:tcPr>
            <w:tcW w:w="2645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Ficha de avaliação do evento.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anual de intercâmbios ou estágios no exterior.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anual de trabalhos apresentados no exterior. Ficha de avaliação do evento.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anual de intercâmbios ou estágios no exterior.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Plano de ações das subunidades;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alunos que participaram de intercâmbio com apoio do CEFD.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61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2)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 Apoiar iniciativas e projetos de pesquisa, ensino ou extensão que possam alcançar relevância internacional.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628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Descrever ações de projetos nos 3 departamentos (Chefias).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Apoio do GAP para elaboração dos projetos internacionais;</w:t>
            </w:r>
          </w:p>
        </w:tc>
        <w:tc>
          <w:tcPr>
            <w:tcW w:w="2645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ações efetivadas dos projetos.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projetos submetidos no período.</w:t>
            </w:r>
          </w:p>
        </w:tc>
      </w:tr>
      <w:tr>
        <w:trPr/>
        <w:tc>
          <w:tcPr>
            <w:tcW w:w="2661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3) Buscar o estabelecimento de convênios de ensino, pesquisa e extensão a partir da participação em eventos internacionais, publicações, bancas, entre outros.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. </w:t>
            </w:r>
          </w:p>
        </w:tc>
        <w:tc>
          <w:tcPr>
            <w:tcW w:w="2628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“GAP no exterior”: levantamento e disponibilizar na página do cefd as ações já realizadas.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lançar/ </w:t>
            </w: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divulgar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 editais que contemplem convênios e parcerias internacionais.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Criação de editais do CEFD para auxílio financeiro para publicações internacionais (tradução e taxa de publicação)</w:t>
            </w:r>
          </w:p>
        </w:tc>
        <w:tc>
          <w:tcPr>
            <w:tcW w:w="2645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ações realizadas pelos docentes.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artigos em periódicos internacionais publicados.</w:t>
            </w:r>
          </w:p>
        </w:tc>
      </w:tr>
      <w:tr>
        <w:trPr/>
        <w:tc>
          <w:tcPr>
            <w:tcW w:w="2661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4) </w:t>
            </w:r>
            <w:r>
              <w:rPr>
                <w:rFonts w:eastAsia="Times New Roman" w:cs="Arial" w:ascii="Arial" w:hAnsi="Arial"/>
                <w:color w:val="222222"/>
                <w:sz w:val="20"/>
                <w:szCs w:val="20"/>
                <w:lang w:eastAsia="pt-BR"/>
              </w:rPr>
              <w:t>Realizar disciplinas e cursos de pequena duração com professores visitantes de universidades dos Estados Unidos, Canadá, Japão, Portugal e Espanha.</w:t>
            </w:r>
          </w:p>
        </w:tc>
        <w:tc>
          <w:tcPr>
            <w:tcW w:w="2628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Levantamento de disciplinas afins com os países citados (graduação e pós-graduação).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Oferecer cursos com professores visitantes.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- Promoção de cursos de inglês instrumental e conversação na graduação e pós-graduação através da utilização de PRAE e monitoria. 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645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ações e disciplinas envolvidas nas 3 áreas do CEFD.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cursos realizados em parceria com professores visitantes dos países citados.</w:t>
            </w:r>
          </w:p>
        </w:tc>
      </w:tr>
      <w:tr>
        <w:trPr/>
        <w:tc>
          <w:tcPr>
            <w:tcW w:w="2661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5)</w:t>
            </w:r>
            <w:r>
              <w:rPr>
                <w:rFonts w:eastAsia="Times New Roman" w:cs="Arial" w:ascii="Arial" w:hAnsi="Arial"/>
                <w:sz w:val="20"/>
                <w:szCs w:val="20"/>
                <w:lang w:eastAsia="pt-BR"/>
              </w:rPr>
              <w:t>Buscar colaborações em pesquisas com instituições estrangeiras.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628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Abertura/</w:t>
            </w: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 xml:space="preserve"> divulgação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de editais específicos para pesquisas com colaboração de instituição estrangeira financiada pelo CEFD.</w:t>
            </w:r>
          </w:p>
        </w:tc>
        <w:tc>
          <w:tcPr>
            <w:tcW w:w="2645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editais criados.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professores envolvidos.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trabalhos publicados.</w:t>
            </w:r>
          </w:p>
        </w:tc>
      </w:tr>
    </w:tbl>
    <w:p>
      <w:pPr>
        <w:pStyle w:val="Standard"/>
        <w:widowControl w:val="false"/>
        <w:tabs>
          <w:tab w:val="left" w:pos="720" w:leader="none"/>
        </w:tabs>
        <w:ind w:left="78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/>
      </w:pPr>
      <w:r>
        <w:rPr>
          <w:rFonts w:eastAsia="Times New Roman" w:cs="Arial" w:ascii="Arial" w:hAnsi="Arial"/>
          <w:b/>
          <w:lang w:eastAsia="pt-BR"/>
        </w:rPr>
        <w:t>Educação inovadora e Transformadora com Excelência acadêmica (D2)</w:t>
      </w:r>
    </w:p>
    <w:tbl>
      <w:tblPr>
        <w:tblStyle w:val="Tabelacomgrade"/>
        <w:tblW w:w="7934" w:type="dxa"/>
        <w:jc w:val="left"/>
        <w:tblInd w:w="770" w:type="dxa"/>
        <w:tblBorders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5"/>
        <w:gridCol w:w="2530"/>
        <w:gridCol w:w="2789"/>
      </w:tblGrid>
      <w:tr>
        <w:trPr/>
        <w:tc>
          <w:tcPr>
            <w:tcW w:w="2615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>OBJETIVOS</w:t>
            </w:r>
          </w:p>
        </w:tc>
        <w:tc>
          <w:tcPr>
            <w:tcW w:w="253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>AÇÕES</w:t>
            </w:r>
          </w:p>
        </w:tc>
        <w:tc>
          <w:tcPr>
            <w:tcW w:w="2789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>INDICADORES</w:t>
            </w:r>
          </w:p>
        </w:tc>
      </w:tr>
      <w:tr>
        <w:trPr/>
        <w:tc>
          <w:tcPr>
            <w:tcW w:w="2615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sz w:val="20"/>
                <w:szCs w:val="20"/>
              </w:rPr>
              <w:t>1)Estimular parcerias com outros Cursos e Centros a fim de propiciar ações compartilhadas e interdisciplinares.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3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Implementar seminários de estágios com centros de áreas relacionadas aos cursos do CEFD (CE, CAL, etc.);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Organizar eventos relacionados à saúde e qualidade de vida da população com o Centro de Ciências da Saúde;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Promover oficinas de qualificação acadêmica em parceria com as bibliotecas de outros centros da UFSM.</w:t>
            </w:r>
          </w:p>
        </w:tc>
        <w:tc>
          <w:tcPr>
            <w:tcW w:w="2789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participantes.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Ficha de avaliação.</w:t>
            </w:r>
          </w:p>
        </w:tc>
      </w:tr>
      <w:tr>
        <w:trPr/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/>
            </w:pPr>
            <w:r>
              <w:rPr>
                <w:rFonts w:eastAsia="NSimSun" w:cs="Arial" w:ascii="Arial" w:hAnsi="Arial"/>
                <w:bCs/>
                <w:sz w:val="20"/>
                <w:szCs w:val="20"/>
                <w:lang w:eastAsia="zh-CN" w:bidi="hi-IN"/>
              </w:rPr>
              <w:t>2 Oferecer uma infraestrutura de apoio qualificada e de acordo com as necessidades de cada área de conhecimento.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3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Realizar periodicamente pesquisa de satisfação das unidades e subunidades do Centro de Educação Física e Desportos;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Modernização de laboratórios através da participação em editais específicos.</w:t>
            </w:r>
          </w:p>
        </w:tc>
        <w:tc>
          <w:tcPr>
            <w:tcW w:w="2789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Resultado da pesquisa de satisfação e feedback;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ações efetivadas e resultados, apresentado em relatório de gestão;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aquisição e uso de equipamentos no laboratório, apresentado em relatório.</w:t>
            </w:r>
          </w:p>
        </w:tc>
      </w:tr>
      <w:tr>
        <w:trPr/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3 Estimular e aprimorar as parcerias entre os Cursos de Graduação e Pós-graduação do CEFD. 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3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eastAsia="Calibri" w:cs="Arial" w:ascii="Arial" w:hAnsi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Incentivar a Co orientação de TCC por alunos/as da Especialização e/ou Mestrandos; 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Promover, através de reuniões entre os coordenadores do CEFD, um calendário programático de rodas de conversa sobre a produção dos grupos de pesquisa do centro.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Organizar a jornada acadêmica do CEFD periodicamente;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Organizar e realizar eventos/palestras/oficinas onde alunos de graduação e pós possam participar de maneira conjunta.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789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trabalhos co orientados;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trabalhos apresentados e/ou submetidos/pulicados;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-Número de participantes dos eventos promovidos pelo CEFD;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4 Estimular ações vinculadas a Temáticas Transversais e interdisciplinares como Meio Ambiente, Relações Étnico-raciais, Direitos Humanos, relações de Gênero, Sexualidade, Geração, Pessoas com deficiência, população em situação de vulnerabilidade social e pessoas com privação de liberdade.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3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Desenvolver estratégias para incluir as temáticas citadas no PPC da graduação;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Criar ou participar de projetos dos mais variados níveis (extensão, pesquisa etc.) nas temáticas transversais;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Promover palestras sobre os temas transversais com especialistas.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Estimular a produção de trabalhos em temas transversais.</w:t>
            </w:r>
          </w:p>
        </w:tc>
        <w:tc>
          <w:tcPr>
            <w:tcW w:w="2789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ações realizadas;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citações dos temas transversais em reuniões do NDE;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palestras promovidas pelo CEFD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Docentes envolvidos em disciplinas relacionadas aos temas transversais;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trabalhos sobre temas transversais apresentados em eventos;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projetos executados nas áreas transversais.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5 Aproximar a comunidade do CEFD às ações esportivas, artísticas e culturais de projetos em desenvolvimento pelo CEFD.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ind w:left="108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3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Aumentar os meios de divulgação das ações dos projetos;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Desenvolver iniciativas que promovam o acolhimento de alunos, servidores e comunidade periodicamente.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789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divulgações pelo NDI.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Número de Professores e alunos envolvidos.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/>
      </w:pPr>
      <w:r>
        <w:rPr>
          <w:rFonts w:cs="Arial" w:ascii="Arial" w:hAnsi="Arial"/>
          <w:b/>
          <w:color w:val="000000"/>
        </w:rPr>
        <w:t xml:space="preserve">         </w:t>
      </w:r>
      <w:r>
        <w:rPr>
          <w:rFonts w:cs="Arial" w:ascii="Arial" w:hAnsi="Arial"/>
          <w:b/>
          <w:color w:val="000000"/>
        </w:rPr>
        <w:t>Inclusão Social (D 3)</w:t>
      </w:r>
    </w:p>
    <w:tbl>
      <w:tblPr>
        <w:tblStyle w:val="Tabelacomgrade"/>
        <w:tblW w:w="8645" w:type="dxa"/>
        <w:jc w:val="left"/>
        <w:tblInd w:w="-15" w:type="dxa"/>
        <w:tblBorders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1"/>
        <w:gridCol w:w="2882"/>
        <w:gridCol w:w="2882"/>
      </w:tblGrid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ab/>
              <w:t>OBJETIVOS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>AÇÕES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>INDICADORES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1 Capacitar Docentes, discentes e técnicos administrativos nas áreas de Pessoas com deficiência (PCD), Envelhecimento, Gênero, Sexualidade, lei 2003 (afro e índio).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ind w:left="720" w:hanging="0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Realização de Minicursos de Formação Continuada e palestras sobre inclusão social aos docentes, discentes e TAE’s do CEFD;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Elaboração de ações pelas chefias das unidades;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Planejamento da semana da inclusão social no CEFD (substitutivo).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b/>
                <w:color w:val="FF0000"/>
                <w:sz w:val="20"/>
                <w:szCs w:val="20"/>
              </w:rPr>
              <w:t xml:space="preserve">- </w:t>
            </w: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Número de palestras realizadas por ano;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Número de minicursos realizados por ano;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Número de participantes de cada atividade;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Ficha de autoavaliação do evento.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2Qualificar a infraestrutura de engenharia e logística respeitando as premissas de acessibilidade, respeito ao Meio Ambiente e segurança.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ind w:left="720" w:hanging="0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Pleitear junto à PROINFRA e à PROPLAN a construção de um prédio novo que inclua todos os requisitos de acessibilidade, pois a adaptação do atual é muito onerosa;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Realocação de recursos humanos e materiais que sejam de maior utilização e relevância para os alunos para o térreo do prédio atualmente utilizado para as atividade do CEFD;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Atividades acadêmicas de sensibilização acerca da preservação do meio ambiente;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-Campanhas de recolhimento de lixo reciclável e eletrônico;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Realização de oficinas que ensinem os alunos a fazer produtos com o lixo reciclável;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Aumentar o número de câmeras em pontos estratégicos do CEFD.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Questionário sobre a acessibilidade da infraestrutura do CEFD;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Relatório de ações sobre acessibilidade e meio ambiente desenvolvidas por semestre;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Número de pessoas participantes de cada campanha;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Quantidade de lixo recolhido por mês;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Aplicação de questionários a respeito da segurança no CEFD. 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color w:val="1D2228"/>
                <w:sz w:val="20"/>
                <w:szCs w:val="20"/>
              </w:rPr>
              <w:t>3 Buscar oportunidades junto aos diversos órgãos e/ou instituições que apoiem a extensão universitária no Rio Grande do Sul e no Brasil.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Inscrever projetos de extensão em editais de outros órgãos/ instituições. 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Relatório das Coordenações de Curso (grad. e pós-grad.) indicando o nº de participação em editais por professor (mesmo que não tenha sido selecionado);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 Relatório de quais projetos submetidos foram selecionados.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4Ampliar a participação de alunos da comunidade do CEFD em projetos esportivos, artísticos, culturais. 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Criar uma Comissão (membros docentes, discentes e servidores técnico-administrativos do CEFD) responsável pela organização e acompanhamento da execução dos referidos projetos de modo geral (mesmo que cada projeto tenha sua equipe de elaboração);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Realização de eventos esportivos, artísticos, sociais e culturais envolvendo toda a comunidade do CEFD;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Auxílio na organização de eventos esportivos, artísticos, sociais e culturais de outros Centros da UFSM e da comunidade, envolvendo discentes e docentes do CEFD.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b/>
                <w:color w:val="FF0000"/>
                <w:sz w:val="20"/>
                <w:szCs w:val="20"/>
              </w:rPr>
              <w:t xml:space="preserve">-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Relatório da Comissão acerca dos dados dos projetos desenvolvidos no CEFD;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Número de eventos que o CEFD realizou/apoiou;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Número de participantes por evento.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5Possibilitar ações que contemplem crianças e adolescentes em situação de vulnerabilidade social.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Realização de projetos </w:t>
            </w:r>
            <w:r>
              <w:rPr>
                <w:rFonts w:cs="Arial" w:ascii="Arial" w:hAnsi="Arial"/>
                <w:sz w:val="20"/>
                <w:szCs w:val="20"/>
              </w:rPr>
              <w:t>(institucional e de extensão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) que envolvam crianças e </w:t>
            </w:r>
            <w:r>
              <w:rPr>
                <w:rFonts w:cs="Arial" w:ascii="Arial" w:hAnsi="Arial"/>
                <w:sz w:val="20"/>
                <w:szCs w:val="20"/>
              </w:rPr>
              <w:t>adolescentes em situação de vulnerabilidade social;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- </w:t>
            </w: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Realização dos projetos em escolas Municipais e Estaduais.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>
                <w:rFonts w:ascii="Arial" w:hAnsi="Arial" w:eastAsia="Calibri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Relatório com o número de crianças e </w:t>
            </w:r>
            <w:r>
              <w:rPr>
                <w:rFonts w:cs="Arial" w:ascii="Arial" w:hAnsi="Arial"/>
                <w:sz w:val="20"/>
                <w:szCs w:val="20"/>
              </w:rPr>
              <w:t>adolescentes em situação de vulnerabilidade social que participam dos projetos do CEFD.</w:t>
            </w:r>
          </w:p>
        </w:tc>
      </w:tr>
    </w:tbl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jc w:val="both"/>
        <w:rPr/>
      </w:pPr>
      <w:r>
        <w:rPr>
          <w:rFonts w:cs="Arial" w:ascii="Arial" w:hAnsi="Arial"/>
          <w:b/>
          <w:color w:val="000000"/>
        </w:rPr>
        <w:t xml:space="preserve">Inovação, Geração de conhecimento e Transferência de Tecnologia (D 4) </w:t>
      </w:r>
    </w:p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tbl>
      <w:tblPr>
        <w:tblStyle w:val="Tabelacomgrade"/>
        <w:tblW w:w="7934" w:type="dxa"/>
        <w:jc w:val="left"/>
        <w:tblInd w:w="770" w:type="dxa"/>
        <w:tblBorders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2546"/>
        <w:gridCol w:w="2700"/>
      </w:tblGrid>
      <w:tr>
        <w:trPr/>
        <w:tc>
          <w:tcPr>
            <w:tcW w:w="2688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>OBJETIVOS</w:t>
            </w:r>
          </w:p>
        </w:tc>
        <w:tc>
          <w:tcPr>
            <w:tcW w:w="2546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>AÇÕES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b/>
                <w:color w:val="000000"/>
                <w:sz w:val="20"/>
                <w:szCs w:val="20"/>
              </w:rPr>
              <w:t>INDICADORES</w:t>
            </w:r>
          </w:p>
        </w:tc>
      </w:tr>
      <w:tr>
        <w:trPr/>
        <w:tc>
          <w:tcPr>
            <w:tcW w:w="2688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1Buscar oportunidades de financiamento em instituições, ministérios, agências de fomento e empresas que ofereçam chamadas públicas para qualificação dos laboratórios, custeio de pesquisas, bem como, bolsas para pesquisadores.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ind w:left="72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46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 Estabelecer uma unidade do CEFD que fique responsável pela busca diária de oportunidades de financiamento para pesquisa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sz w:val="20"/>
                <w:szCs w:val="20"/>
              </w:rPr>
              <w:t>Agências: CAPES, CNPq, FAPERGS, MEC , Editais internos – UFSM</w:t>
            </w:r>
          </w:p>
        </w:tc>
      </w:tr>
      <w:tr>
        <w:trPr/>
        <w:tc>
          <w:tcPr>
            <w:tcW w:w="2688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2Qualificar e ampliar as ações de fomento à pesquisa com parcerias e convênios.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ind w:left="72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4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- Parcerias bilaterais: Com diferentes universidades brasileiras e estrangeiras; PETROBRáS, BANRISUL. BANCO DO BRASIL, ONGs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- Participação em Projeto Rondon (com propostas)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- Comunicação/divulgação (por  discentes e docentes) de projetos e ações desenvolvidas em Ensino/pesquisa/extensão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- Fortalecer e ampliar ações existentes (graduação)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 xml:space="preserve">- Editais para a promoção de participação em eventos 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  <w:lang w:bidi="ar-SA"/>
              </w:rPr>
              <w:t>- Organizar e divulgar de forma coordenada a apresentação de trabalhos de conclusão de curso nos diferentes níveis (Educação Física, Dança, Especialização EF escolar, Mestrado EF, Mestrado Gerontologia).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- Sistematizar e divulgar quantitativos de trabalhos concluídos (nos diferentes cursos).</w:t>
            </w:r>
          </w:p>
        </w:tc>
      </w:tr>
      <w:tr>
        <w:trPr/>
        <w:tc>
          <w:tcPr>
            <w:tcW w:w="2688" w:type="dxa"/>
            <w:tcBorders/>
            <w:shd w:color="auto"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3Ampliar o uso de tecnologias em diferentes processos institucionais.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ind w:left="72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4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- Oferecer semestralmente cursos de capacitação para uso  adequado e moderno de Tis (TICs?) em aulas e eventos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- Criar estratégias de comunicação facilitada no CEFD através das Tis (TICs)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- Programar envio de comunicados (automáticos) para PPGs, grupos de pesquisa, coordenação de cursos sobre abertura de inscrições para mestrado e divulgar editais para mestrado/doutorado de outros programas e instituições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  <w:lang w:bidi="ar-SA"/>
              </w:rPr>
              <w:t>- Aquisição de programas de detecção de plágio e de análise de dados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-</w:t>
            </w:r>
            <w:r>
              <w:rPr>
                <w:rFonts w:cs="Arial" w:ascii="Arial" w:hAnsi="Arial"/>
                <w:sz w:val="20"/>
                <w:szCs w:val="20"/>
              </w:rPr>
              <w:t>Indicadores quantitativos de dados sobre os cursos e público atendido nessas capacitações.</w:t>
            </w:r>
          </w:p>
        </w:tc>
      </w:tr>
      <w:tr>
        <w:trPr/>
        <w:tc>
          <w:tcPr>
            <w:tcW w:w="268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/>
            </w:pPr>
            <w:r>
              <w:rPr>
                <w:rFonts w:eastAsia="NSimSun" w:cs="Arial" w:ascii="Arial" w:hAnsi="Arial"/>
                <w:bCs/>
                <w:sz w:val="20"/>
                <w:szCs w:val="20"/>
                <w:lang w:eastAsia="zh-CN" w:bidi="hi-IN"/>
              </w:rPr>
              <w:t>4Oferecer uma infraestrutura de apoio qualificada e de acordo com as necessidades de cada área de conhecimento.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ind w:left="72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Manutenção regular de equipamentos eletrônicos nas salas de aula e material multimídia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- Aquisição de quadros novos e canetas adequadas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>- Aquisição e acondicionamento adequado de materiais para as diferentes áreas de forma equânime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  <w:lang w:bidi="ar-SA"/>
              </w:rPr>
              <w:t>- constituição de um almoxarifado de materiais didáticos e esportivos para uso mais amplo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360"/>
              <w:jc w:val="both"/>
              <w:rPr/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sz w:val="20"/>
                <w:szCs w:val="20"/>
              </w:rPr>
              <w:t>Inventários.</w:t>
            </w:r>
          </w:p>
        </w:tc>
      </w:tr>
      <w:tr>
        <w:trPr/>
        <w:tc>
          <w:tcPr>
            <w:tcW w:w="26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5Qualificar a estrutura e gestão da Revista científica do CEFD. 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ind w:left="72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 xml:space="preserve">- Estabelecer uma obrigatoriedade de publicação de, Pelo menos um artigo por ano na Revista Científica do CEFD, por professor 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 xml:space="preserve">* Ação relativa à Kinesis: Contemplar os 20% de artigos de cada edição da Revista Kinesis  com publicações de docentes do CEFD, assegurando as duas áreas (por  edição) 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  <w:lang w:bidi="ar-SA"/>
              </w:rPr>
              <w:t>- Encaminhar convites a diferentes PPGs para chamadas de artigos na Kinesis (seja em números temáticos ou não)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</w:rPr>
              <w:t>- Número de artigos de docentes do CEFD publicados na revista.</w:t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>
                <w:rFonts w:ascii="Arial" w:hAnsi="Arial" w:eastAsia="Calibri" w:cs="Arial"/>
                <w:color w:val="FF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  <w:t xml:space="preserve">Número de artigos de docentes do CEFD publicados na revista.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color w:val="00000A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color w:val="00000A"/>
                <w:sz w:val="20"/>
                <w:szCs w:val="20"/>
                <w:lang w:eastAsia="zh-CN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  <w:lang w:eastAsia="zh-CN"/>
              </w:rPr>
            </w:r>
          </w:p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/>
            </w:pPr>
            <w:r>
              <w:rPr>
                <w:rFonts w:eastAsia="Calibri" w:cs="Arial" w:ascii="Arial" w:hAnsi="Arial"/>
                <w:color w:val="00000A"/>
                <w:sz w:val="20"/>
                <w:szCs w:val="20"/>
                <w:lang w:bidi="ar-SA"/>
              </w:rPr>
              <w:t>- Elaborar e divulgar os indicadores quantitativos de publicações da Kinesis</w:t>
            </w:r>
          </w:p>
        </w:tc>
      </w:tr>
    </w:tbl>
    <w:p>
      <w:pPr>
        <w:pStyle w:val="Standard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ind w:left="0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Modernização e Desenvolvimento organizacional (D 5)</w:t>
      </w:r>
    </w:p>
    <w:p>
      <w:pPr>
        <w:pStyle w:val="ListParagraph"/>
        <w:ind w:left="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Style w:val="Tabelacomgrade"/>
        <w:tblW w:w="8645" w:type="dxa"/>
        <w:jc w:val="left"/>
        <w:tblInd w:w="-15" w:type="dxa"/>
        <w:tblBorders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1"/>
        <w:gridCol w:w="2882"/>
        <w:gridCol w:w="2882"/>
      </w:tblGrid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OBJETIVOS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AÇÕES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INDICADORES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1Realizar levantamento de necessidades de acessibilidade e sustentabilidade.</w:t>
            </w:r>
          </w:p>
          <w:p>
            <w:pPr>
              <w:pStyle w:val="ListParagraph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Diagnóstico do contexto atual no CEFD, com base nos documentos oficiais;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Instrumentalizar docentes e TAEs, através de cursos (libras, áudio-descrição) e dinâmicas de grupo, para receber alunos/colegas com necessidades especiais;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Aplicação de questionários com perguntas abertas e fechadas;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Entrevistas;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Ouvidoria setorial;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Aperfeiçoar a avaliação institucional (Setoria) com questões elencadas no PDU;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2- </w:t>
            </w:r>
            <w:r>
              <w:rPr>
                <w:rFonts w:cs="Arial" w:ascii="Arial" w:hAnsi="Arial"/>
                <w:sz w:val="20"/>
                <w:szCs w:val="20"/>
              </w:rPr>
              <w:t>Modernizar a infraestrutura de TI para suportar as necessidades acadêmicas e administrativas.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Identificar demandas da comunidade do CEFD;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Ampliar o Laboratório de Informática;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Instalar  Wifi em todo CEFD;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Investir em Software para atender demandas pedagógicas, inclusive, de edição;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Estimular o uso;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-instalar e atualizar recursos audiovisuais em salas de aula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Aplicação de questionários com perguntas abertas e fechadas;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Entrevistas;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Ouvidoria setorial;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Aperfeiçoar a avaliação institucional (Setoria) com questões elencadas no PDU.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3 - </w:t>
            </w:r>
            <w:r>
              <w:rPr>
                <w:rFonts w:cs="Arial" w:ascii="Arial" w:hAnsi="Arial"/>
                <w:sz w:val="20"/>
                <w:szCs w:val="20"/>
              </w:rPr>
              <w:t>Zelar pela melhor aplicação dos recursos públicos, evitando desperdícios, através de aconselhamentos e disponibilização de informações necessárias.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Investir em conscientização da comunidade do CEFD, utilizando as linguagens multimodais (som, imagem, texto e animação);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Atualizar, divulgar e aprovar a planilha de execução orçamentária no primeiro e segundo semestres, inclusive no Conselho de Centro;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Aplicação de questionários com perguntas abertas e fechadas;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Entrevistas;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Ouvidoria setorial;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rFonts w:eastAsia="Calibri" w:cs="Arial" w:ascii="Arial" w:hAnsi="Arial" w:eastAsiaTheme="minorHAnsi"/>
                <w:color w:val="00000A"/>
                <w:sz w:val="20"/>
                <w:szCs w:val="20"/>
              </w:rPr>
              <w:t>- Aperfeiçoar a avaliação institucional (Setoria) com questões elencadas no PDU;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4- </w:t>
            </w:r>
            <w:r>
              <w:rPr>
                <w:rFonts w:cs="Arial" w:ascii="Arial" w:hAnsi="Arial"/>
                <w:sz w:val="20"/>
                <w:szCs w:val="20"/>
              </w:rPr>
              <w:t>Aprofundar a utilização das tecnologias da informação.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- Discutir a temática como pauta de reuniões de Departamento.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- Número de ações realizadas em cada Departamento.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5- </w:t>
            </w:r>
            <w:r>
              <w:rPr>
                <w:rFonts w:cs="Arial" w:ascii="Arial" w:hAnsi="Arial"/>
                <w:sz w:val="20"/>
                <w:szCs w:val="20"/>
              </w:rPr>
              <w:t>Manter atualizada a planilha de execução orçamentária, permitindo que haja transparência na utilização dos recursos e acesso rápido às informações orçamentárias de cada unidade e subunidade do CEFD.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-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Realizar reuniões das chefias com  Núcleo Orçamentário do CEFD.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- Disponiblizar na página do CEFD todas as informações orçamentárias da Unidade.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b/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Desenvolvimento Local, Regional e Nacional (D 6)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Style w:val="Tabelacomgrade"/>
        <w:tblW w:w="8645" w:type="dxa"/>
        <w:jc w:val="left"/>
        <w:tblInd w:w="-15" w:type="dxa"/>
        <w:tblBorders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1"/>
        <w:gridCol w:w="2882"/>
        <w:gridCol w:w="2882"/>
      </w:tblGrid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OBJETIVOS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AÇÕES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INDICADORES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1Identificar e aprofundar ações de pesquisa entre o CEFD com instituições públicas e privadas como academias, ONGS, Clubes, Associações comunitárias, Ligas, Instituições de Ensino, Prefeituras, entre outros.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- Realizar palestras com pessoas da UFSM especializadas no desenvolvimento de projetos junto a instituições externas a UFSM, públicas e particulares.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- Número de ações e projetos desenvolvidos junto a instituições externas a UFSM.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2 Identificar, construir e manter relações com lideranças locais e regionais, buscando aproximar a Universidade e os diferentes segmentos da sociedade.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sz w:val="20"/>
                <w:szCs w:val="20"/>
              </w:rPr>
              <w:t>Promover fóruns de discussão (período de, no mínimo, cinco anos) com diversos segmentos e entidades da sociedade local e regional sobre Educação Física, esporte, dança, qualidade de vida e outros temas afins à atuação do CEFD.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-</w:t>
            </w:r>
            <w:r>
              <w:rPr>
                <w:rFonts w:cs="Arial" w:ascii="Arial" w:hAnsi="Arial"/>
                <w:sz w:val="20"/>
                <w:szCs w:val="20"/>
              </w:rPr>
              <w:t xml:space="preserve"> Número, natureza (tipo) e origem (abrangência geográfica) dos segmentos e entidades participantes.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3- </w:t>
            </w:r>
            <w:r>
              <w:rPr>
                <w:rFonts w:cs="Arial" w:ascii="Arial" w:hAnsi="Arial"/>
                <w:sz w:val="20"/>
                <w:szCs w:val="20"/>
              </w:rPr>
              <w:t>Fomentar o planejamento e a realização de eventos que visem o compartilhar de saberes entre as diferentes áreas do CEFD a partir do ensino, da pesquisa e da extensão: esportivos, artísticos e culturais.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-Promover eventos científicos, esportivos e culturais em parceria com as prefeituras dos municípios da região central do RS, com Secretarias Estaduais (Esporte, Saúde, Educação) e com outras instituições de ensino de Dança e Educação Física.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-</w:t>
            </w:r>
            <w:r>
              <w:rPr>
                <w:rFonts w:cs="Arial" w:ascii="Arial" w:hAnsi="Arial"/>
                <w:sz w:val="20"/>
                <w:szCs w:val="20"/>
              </w:rPr>
              <w:t>Relação das parcerias existentes (convênios, acordos de cooperação), fortalecimento das mesmas, através de novas ações e abertura de novas parcerias.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4 </w:t>
            </w:r>
            <w:r>
              <w:rPr>
                <w:rFonts w:cs="Arial" w:ascii="Arial" w:hAnsi="Arial"/>
                <w:color w:val="1D2228"/>
                <w:sz w:val="20"/>
                <w:szCs w:val="20"/>
              </w:rPr>
              <w:t>Trabalhar pela reabertura dos diversos projetos e ações voltados para a comunidade, que foram desativados com o fim da ADUFSM.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 Elaborar a política de extensão do CEFD.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-Estudo técnico, orçamentário e jurídico para avaliar a viabilidade da reabertura, quais atividades podem ser reabertas e a forma de gestão/execução das mesmas.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 Origem e número dos participantes atendidos pelas ações da ADUFSM.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 Origem e número de participantes atendidos pelas novas ações.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5- </w:t>
            </w:r>
            <w:r>
              <w:rPr>
                <w:rFonts w:cs="Arial" w:ascii="Arial" w:hAnsi="Arial"/>
                <w:sz w:val="20"/>
                <w:szCs w:val="20"/>
              </w:rPr>
              <w:t>Incentivar a participação das equipes esportivas e grupos e Companhias de Dança em eventos nacionais.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 Implantação de uma subunidade, no CEFD, encarregada do gerenciamento das equipes e companhias.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 Contratação de servidores especializados (técnicos-desportivos e bailarinos).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 Dotação orçamentária para custeio das equipes e companhias.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- Melhoria da estrutura física e dos recursos materiais necessários para a manutenção e treinamento das equipes e companhias.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sz w:val="20"/>
                <w:szCs w:val="20"/>
              </w:rPr>
              <w:t>Número de participações em eventos nacionais; qualificação dos eventos; visibilidade midiática das equipes e companhias; abrangência populacional participante das equipes e companhias.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>Gestão Ambiental (D7)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Style w:val="Tabelacomgrade"/>
        <w:tblW w:w="8645" w:type="dxa"/>
        <w:jc w:val="left"/>
        <w:tblInd w:w="-15" w:type="dxa"/>
        <w:tblBorders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1"/>
        <w:gridCol w:w="2882"/>
        <w:gridCol w:w="2882"/>
      </w:tblGrid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OBJETIVOS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AÇÕES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INDICADORES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1Estimular o desenvolvimento da cultura organizacional voltada para a sustentabilidade e institucionalização e divulgação das ações e práticas atualmente desenvolvidas.</w:t>
            </w:r>
          </w:p>
          <w:p>
            <w:pPr>
              <w:pStyle w:val="ListParagraph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Promover Campanhas educativas e de conscientização próprias do CEFD, bem como adesão nas da UFSM.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SimSun" w:cs="Arial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Estudo e viabilidade de placas solares em reformas e novas obras.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Monitoramento e repasse desses dados quanto ao consumo de água e energias elétrica.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2 </w:t>
            </w:r>
            <w:r>
              <w:rPr>
                <w:rFonts w:eastAsia="Times New Roman" w:cs="Arial" w:ascii="Arial" w:hAnsi="Arial"/>
                <w:color w:val="222222"/>
                <w:sz w:val="20"/>
                <w:szCs w:val="20"/>
                <w:lang w:eastAsia="pt-BR"/>
              </w:rPr>
              <w:t>Diminuir o consumo de materiais que agridam o meio ambiente.</w:t>
            </w:r>
          </w:p>
          <w:p>
            <w:pPr>
              <w:pStyle w:val="Normal"/>
              <w:tabs>
                <w:tab w:val="left" w:pos="705" w:leader="none"/>
              </w:tabs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-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Presentear cada docente e TAE com uma xicara com seu nome para ser usada abolindo a compra de copos plásticos.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-Uso exclusivo de meios eletrônicos e virtuais em comunicações oficiais do CEFD e nas aulas, evitando-se ao máximo o uso de papel.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-Realizar campanha de conscientização dos discentes sobre a produção excessiva de lixo e manutenção das salas de aula limpas.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 Adequação ao Edital da Lancheria: tentar incluir medidas de controle do uso de descartáveis.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-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Proibição da compra de copos de plástico (salvo eventos).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-Diminuição da compra de pacotes de folhas de oficio não reciclado.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Recolhimento e/ou doações pelo setor de Patrimônio.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3 </w:t>
            </w:r>
            <w:r>
              <w:rPr>
                <w:rFonts w:cs="Arial" w:ascii="Arial" w:hAnsi="Arial"/>
                <w:sz w:val="20"/>
                <w:szCs w:val="20"/>
              </w:rPr>
              <w:t>Estimular a realização de práticas corporais e esportivas relacionadas ao Meio Ambiente, Ecologia, Saúde Ambiental, Sustentabilidade em ações de Ensino, Pesquisa e Extensão.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Práticas corporais utilizando a área de natureza da UFSM.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Eventos Eco esportivos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Construção e viabilidade de espaços e acesso para as atividades.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-Projetos atrativos e modernos.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Quantificar o número de ações e participantes na proposta. Aumentar a cada etapa os participantes e desenvolvedores.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Diversificar e acolher o maior quantitativo possível de comunidade externa.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4 </w:t>
            </w:r>
            <w:r>
              <w:rPr>
                <w:rFonts w:cs="Arial" w:ascii="Arial" w:hAnsi="Arial"/>
                <w:sz w:val="20"/>
                <w:szCs w:val="20"/>
              </w:rPr>
              <w:t>Proporcionar a ampliação e institucionalização dos projetos voltados para a racionalização dos usos dos recursos naturais e conscientização sobre práticas sustentáveis.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Adicionar a criação de práticas em gestão ambiental nos eventos do CEFD.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Ao registrar projetos de ensino, pesquisa e extensão, viabilizar o maior número de ações de controle ambiental.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Sensor de presença nos corredores, diminuindo o número de lâmpadas acesas.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Aquecimento dos chuveiros do complexo de piscina por aquecimento via caldeiras.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-Mural para comunicações dos setores (substituir os cartazes).</w:t>
            </w:r>
          </w:p>
        </w:tc>
      </w:tr>
      <w:tr>
        <w:trPr/>
        <w:tc>
          <w:tcPr>
            <w:tcW w:w="2881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left" w:pos="720" w:leader="none"/>
              </w:tabs>
              <w:spacing w:lineRule="auto" w:line="240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5 </w:t>
            </w:r>
            <w:r>
              <w:rPr>
                <w:rFonts w:cs="Arial" w:ascii="Arial" w:hAnsi="Arial"/>
                <w:color w:val="1D2228"/>
                <w:sz w:val="20"/>
                <w:szCs w:val="20"/>
              </w:rPr>
              <w:t>Incentivar o bom uso dos materiais, equipamentos e estrutura do CEFD.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color w:val="FF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Realizar campanhas de conscientização sobre o bom uso e a manutenção dos materiais, equipamentos e estrutura do CEFD.</w:t>
            </w:r>
            <w:r>
              <w:rPr>
                <w:rFonts w:cs="Arial" w:ascii="Arial" w:hAnsi="Arial"/>
                <w:b/>
                <w:color w:val="00000A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b/>
                <w:color w:val="000000"/>
                <w:sz w:val="20"/>
                <w:szCs w:val="20"/>
                <w:lang w:eastAsia="zh-CN" w:bidi="hi-IN"/>
              </w:rPr>
              <w:t xml:space="preserve">- </w:t>
            </w: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Sinalização de cada ambiente: formas de uso, proibições, especificações. Ex: tatames, quadra de tênis, etc.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- Conserto/substituição itens</w:t>
            </w:r>
          </w:p>
        </w:tc>
        <w:tc>
          <w:tcPr>
            <w:tcW w:w="288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- </w:t>
            </w: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>Quantificar quantos itens estavam estragados, por quantos substituídos bem como o tempo de durabilidade até manutenção.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SimSun" w:cs="Arial" w:ascii="Arial" w:hAnsi="Arial"/>
                <w:color w:val="000000"/>
                <w:sz w:val="20"/>
                <w:szCs w:val="20"/>
                <w:lang w:eastAsia="zh-CN" w:bidi="hi-IN"/>
              </w:rPr>
              <w:t xml:space="preserve">- Divulgar de forma ampla esses dados.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/>
      </w:pPr>
      <w:r>
        <w:rPr>
          <w:rFonts w:cs="Arial" w:ascii="Arial" w:hAnsi="Arial"/>
          <w:b/>
          <w:color w:val="000000"/>
          <w:sz w:val="22"/>
          <w:szCs w:val="22"/>
        </w:rPr>
        <w:t xml:space="preserve">3. Considerações Finais </w:t>
      </w:r>
    </w:p>
    <w:p>
      <w:pPr>
        <w:pStyle w:val="Normal"/>
        <w:widowControl w:val="false"/>
        <w:tabs>
          <w:tab w:val="left" w:pos="720" w:leader="none"/>
        </w:tabs>
        <w:spacing w:lineRule="auto" w:line="360" w:before="0" w:after="160"/>
        <w:ind w:left="786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ab/>
        <w:t xml:space="preserve">A tarefa de elaborar o Plano de Desenvolvimento de Unidade do Centro de Educação Física é, ao mesmo tempo um desafio e um processo complexo. Desafio no sentido de mesmo uma Comissão representativa, formada por diferentes segmentos, pensar os objetivos, metas e indicadores das diferentes subunidades e almejar perspectivas de qualificação e de crescimento foi um exercício constante de ação e reflexão. Processo por se tratar de articular diferentes etapas de um trabalho coletivo como diagnóstico, levantamentos, fragilidades, oportunidades e avaliação. Este plano que orienta e fundamenta as ações do Centro de Educação Físcia e Desportos pelos próximos 10 anos foi construído pelos desejos de diferentes pessoas que convivem em um mesmo contexto. 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ab/>
        <w:t>Mais do que um documento, foi um espaço para pensar sobre o papel reservado às áreas da Educação Física, Gerontologia e Dança na UFSM e na nossa sociedade. O diagnóstico inicial permitiu identificar aqueles aspectos que são considerados pontos fortes e pontos fracos, assim como àquelas questões que podem significar risco às atividades atualmente desenvolvidas ou as oportunidades que são vislumbradas para o futuro.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ab/>
        <w:t xml:space="preserve">A proposição de objetivos, assim como a sua priorização permitiu que a comunidade do CEFD apontasse aquilo que considera mais urgente e importante. Assim, os esforços podem ser concentrados, com a expectativa de melhores resultados e mais aparentes. As ações indicam aquilo que o CEFD deve executar, com o foco em atingir os seus objetivos pré-determinados. Por fim, os indicadores permitem mensurar o trabalho a ser realizado. 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ab/>
        <w:t xml:space="preserve">Ao longo da construção do PDU, os envolvidos no processo levantaram diversos questionamentos sobre os caminhos a serem seguidos nas diversas atividades desenvolvidas no CEFD. O processo de planejamento estratégico institucional não se esgota na apresentação deste documento. Pelo contrário, apenas se inaugura a fase de implantação do plano de ações. Para tanto, é fundamental ter-se a clareza que as ações derivadas do PDU podem ser priorizadas na esteira dos fluxos de processos do CEFD e cursos de acordo com os recursos disponíveis e urgência dos impactos positivos almejados. 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ab/>
        <w:t>Observe-se, também, que alguns indicadores já poderão apresentar dados cujos resultados já são positivos em relação às ações propostas. Nestes casos, é indispensável que se interprete que as ações propostas já estão em andamento e já geram resultados positivos. Sendo assim, apenas, é necessário mantê-las em andamento e manter o seu monitoramento.</w:t>
      </w:r>
    </w:p>
    <w:p>
      <w:pPr>
        <w:pStyle w:val="Normal"/>
        <w:spacing w:lineRule="auto" w:line="360"/>
        <w:ind w:left="0" w:right="0" w:firstLine="72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Assim, em resumo, os responsáveis pela execução das ações deverão ponderar sobre: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textAlignment w:val="baseline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1) se as ações propostas já tiverem sido implementadas, não é necessário fazer nada mais do que seguir em frente;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textAlignment w:val="baseline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2) se os indicadores já apresentarem resultados positivos, não é necessário fazer nada mais do que seguir em frente ou é necessário aumentar as metas dos relativos indicadores. </w:t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>3) se os indicadores apresentarem resultados negativos, é necessário implementar a ação proposta ou melhorar o desempenho na ação (caso ela já esteja sendo executada).</w:t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0"/>
          <w:szCs w:val="20"/>
          <w:highlight w:val="yellow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>4. Referências</w:t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 xml:space="preserve">UFSM – UNIVERSIDADE FEDERAL DE SANTA MARIA. </w:t>
      </w:r>
      <w:r>
        <w:rPr>
          <w:rFonts w:eastAsia="Times New Roman" w:cs="Arial" w:ascii="Arial" w:hAnsi="Arial"/>
          <w:b/>
          <w:bCs w:val="false"/>
          <w:color w:val="000000"/>
          <w:sz w:val="24"/>
          <w:szCs w:val="24"/>
          <w:lang w:eastAsia="pt-BR"/>
        </w:rPr>
        <w:t>Plano de Desenvolvimento Institucional (PDI 2016-2026)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>. Santa Maria: UFSM, 2016.</w:t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>PDU CCSH.</w:t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>Plano de gestão UFSM.</w:t>
      </w:r>
    </w:p>
    <w:p>
      <w:pPr>
        <w:pStyle w:val="Normal"/>
        <w:widowControl w:val="false"/>
        <w:tabs>
          <w:tab w:val="left" w:pos="720" w:leader="none"/>
        </w:tabs>
        <w:bidi w:val="0"/>
        <w:spacing w:lineRule="auto" w:line="360" w:before="0" w:after="20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boto">
    <w:altName w:val="RobotoDraf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786" w:hanging="360"/>
      </w:pPr>
      <w:rPr>
        <w:sz w:val="24"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sz w:val="22"/>
      <w:szCs w:val="22"/>
      <w:lang w:val="pt-BR" w:eastAsia="en-US" w:bidi="ar-SA"/>
    </w:rPr>
  </w:style>
  <w:style w:type="paragraph" w:styleId="Ttulo3">
    <w:name w:val="Heading 3"/>
    <w:basedOn w:val="Ttulododocumento"/>
    <w:qFormat/>
    <w:pPr>
      <w:outlineLvl w:val="2"/>
    </w:pPr>
    <w:rPr/>
  </w:style>
  <w:style w:type="paragraph" w:styleId="Ttulo4">
    <w:name w:val="Heading 4"/>
    <w:basedOn w:val="Ttulo"/>
    <w:qFormat/>
    <w:pPr>
      <w:keepNext/>
      <w:widowControl w:val="false"/>
      <w:bidi w:val="0"/>
      <w:spacing w:lineRule="auto" w:line="360" w:before="10" w:after="10"/>
      <w:jc w:val="both"/>
      <w:outlineLvl w:val="3"/>
    </w:pPr>
    <w:rPr>
      <w:rFonts w:ascii="Arial" w:hAnsi="Arial" w:eastAsia="Times New Roman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43bcb"/>
    <w:rPr>
      <w:rFonts w:ascii="Tahoma" w:hAnsi="Tahoma"/>
      <w:color w:val="00000A"/>
      <w:sz w:val="16"/>
      <w:szCs w:val="16"/>
    </w:rPr>
  </w:style>
  <w:style w:type="character" w:styleId="ListLabel1">
    <w:name w:val="ListLabel 1"/>
    <w:qFormat/>
    <w:rPr>
      <w:rFonts w:eastAsia="Times New Roman"/>
      <w:color w:val="00000A"/>
      <w:u w:val="singl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rFonts w:ascii="Arial" w:hAnsi="Arial" w:cs="Arial"/>
      <w:sz w:val="24"/>
    </w:rPr>
  </w:style>
  <w:style w:type="character" w:styleId="ListLabel4">
    <w:name w:val="ListLabel 4"/>
    <w:qFormat/>
    <w:rPr>
      <w:u w:val="single"/>
    </w:rPr>
  </w:style>
  <w:style w:type="character" w:styleId="ListLabel5">
    <w:name w:val="ListLabel 5"/>
    <w:qFormat/>
    <w:rPr>
      <w:rFonts w:ascii="Arial" w:hAnsi="Arial" w:cs="Arial"/>
      <w:sz w:val="24"/>
    </w:rPr>
  </w:style>
  <w:style w:type="character" w:styleId="ListLabel6">
    <w:name w:val="ListLabel 6"/>
    <w:qFormat/>
    <w:rPr>
      <w:rFonts w:ascii="Arial" w:hAnsi="Arial" w:cs="Arial"/>
      <w:sz w:val="24"/>
    </w:rPr>
  </w:style>
  <w:style w:type="character" w:styleId="ListLabel7">
    <w:name w:val="ListLabel 7"/>
    <w:qFormat/>
    <w:rPr>
      <w:rFonts w:ascii="Arial" w:hAnsi="Arial" w:cs="Arial"/>
      <w:sz w:val="24"/>
    </w:rPr>
  </w:style>
  <w:style w:type="character" w:styleId="ListLabel8">
    <w:name w:val="ListLabel 8"/>
    <w:qFormat/>
    <w:rPr>
      <w:rFonts w:ascii="Arial" w:hAnsi="Arial" w:cs="Arial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Mangal"/>
      <w:color w:val="00000A"/>
      <w:sz w:val="24"/>
      <w:szCs w:val="24"/>
      <w:lang w:val="pt-BR"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43bcb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42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wmf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wmf"/><Relationship Id="rId14" Type="http://schemas.openxmlformats.org/officeDocument/2006/relationships/image" Target="media/image13.wmf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oleObject" Target="embeddings/oleObject1.bin"/><Relationship Id="rId18" Type="http://schemas.openxmlformats.org/officeDocument/2006/relationships/image" Target="media/image16.emf"/><Relationship Id="rId19" Type="http://schemas.openxmlformats.org/officeDocument/2006/relationships/oleObject" Target="embeddings/oleObject2.bin"/><Relationship Id="rId20" Type="http://schemas.openxmlformats.org/officeDocument/2006/relationships/image" Target="media/image17.emf"/><Relationship Id="rId21" Type="http://schemas.openxmlformats.org/officeDocument/2006/relationships/oleObject" Target="embeddings/oleObject3.bin"/><Relationship Id="rId22" Type="http://schemas.openxmlformats.org/officeDocument/2006/relationships/image" Target="media/image18.emf"/><Relationship Id="rId23" Type="http://schemas.openxmlformats.org/officeDocument/2006/relationships/chart" Target="charts/chart1.xml"/><Relationship Id="rId24" Type="http://schemas.openxmlformats.org/officeDocument/2006/relationships/chart" Target="charts/chart2.xml"/><Relationship Id="rId25" Type="http://schemas.openxmlformats.org/officeDocument/2006/relationships/chart" Target="charts/chart3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INGRESSANTES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18</c:v>
                </c:pt>
                <c:pt idx="1">
                  <c:v>16</c:v>
                </c:pt>
                <c:pt idx="2">
                  <c:v>23</c:v>
                </c:pt>
                <c:pt idx="3">
                  <c:v>15</c:v>
                </c:pt>
                <c:pt idx="4">
                  <c:v>15</c:v>
                </c:pt>
                <c:pt idx="5">
                  <c:v>12</c:v>
                </c:pt>
                <c:pt idx="6">
                  <c:v>99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FORMADOS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18</c:v>
                </c:pt>
                <c:pt idx="1">
                  <c:v>10</c:v>
                </c:pt>
                <c:pt idx="2">
                  <c:v>13</c:v>
                </c:pt>
                <c:pt idx="3">
                  <c:v>10</c:v>
                </c:pt>
                <c:pt idx="4">
                  <c:v>18</c:v>
                </c:pt>
                <c:pt idx="5">
                  <c:v>4</c:v>
                </c:pt>
                <c:pt idx="6">
                  <c:v>73</c:v>
                </c:pt>
              </c:numCache>
            </c:numRef>
          </c:val>
        </c:ser>
        <c:gapWidth val="150"/>
        <c:shape val="box"/>
        <c:axId val="73636018"/>
        <c:axId val="10700770"/>
        <c:axId val="0"/>
      </c:bar3DChart>
      <c:catAx>
        <c:axId val="73636018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p>
            <a:pPr>
              <a:defRPr b="0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</a:p>
        </c:txPr>
        <c:crossAx val="10700770"/>
        <c:crosses val="autoZero"/>
        <c:auto val="1"/>
        <c:lblAlgn val="ctr"/>
        <c:lblOffset val="100"/>
      </c:catAx>
      <c:valAx>
        <c:axId val="10700770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p>
            <a:pPr>
              <a:defRPr b="0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</a:p>
        </c:txPr>
        <c:crossAx val="73636018"/>
        <c:crosses val="autoZero"/>
        <c:majorUnit val="5"/>
      </c:valAx>
      <c:spPr>
        <a:noFill/>
        <a:ln w="9360">
          <a:solidFill>
            <a:srgbClr val="878787"/>
          </a:solidFill>
          <a:round/>
        </a:ln>
      </c:spPr>
    </c:plotArea>
    <c:legend>
      <c:legendPos val="r"/>
      <c:overlay val="0"/>
      <c:spPr>
        <a:noFill/>
        <a:ln>
          <a:noFill/>
        </a:ln>
      </c:spPr>
    </c:legend>
    <c:plotVisOnly val="1"/>
    <c:dispBlanksAs val="gap"/>
  </c:chart>
  <c:spPr>
    <a:solidFill>
      <a:srgbClr val="ffffff"/>
    </a:solidFill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INGRESSANTES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20</c:v>
                </c:pt>
                <c:pt idx="1">
                  <c:v>26</c:v>
                </c:pt>
                <c:pt idx="2">
                  <c:v>28</c:v>
                </c:pt>
                <c:pt idx="3">
                  <c:v>30</c:v>
                </c:pt>
                <c:pt idx="4">
                  <c:v>13</c:v>
                </c:pt>
                <c:pt idx="5">
                  <c:v>13</c:v>
                </c:pt>
                <c:pt idx="6">
                  <c:v>130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FORMADOS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10</c:v>
                </c:pt>
                <c:pt idx="1">
                  <c:v>35</c:v>
                </c:pt>
                <c:pt idx="2">
                  <c:v>25</c:v>
                </c:pt>
                <c:pt idx="3">
                  <c:v>5</c:v>
                </c:pt>
                <c:pt idx="4">
                  <c:v>27</c:v>
                </c:pt>
                <c:pt idx="5">
                  <c:v>6</c:v>
                </c:pt>
                <c:pt idx="6">
                  <c:v>108</c:v>
                </c:pt>
              </c:numCache>
            </c:numRef>
          </c:val>
        </c:ser>
        <c:gapWidth val="150"/>
        <c:shape val="box"/>
        <c:axId val="57545725"/>
        <c:axId val="61755647"/>
        <c:axId val="0"/>
      </c:bar3DChart>
      <c:catAx>
        <c:axId val="57545725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p>
            <a:pPr>
              <a:defRPr b="0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</a:p>
        </c:txPr>
        <c:crossAx val="61755647"/>
        <c:crosses val="autoZero"/>
        <c:auto val="1"/>
        <c:lblAlgn val="ctr"/>
        <c:lblOffset val="100"/>
      </c:catAx>
      <c:valAx>
        <c:axId val="61755647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p>
            <a:pPr>
              <a:defRPr b="0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</a:p>
        </c:txPr>
        <c:crossAx val="57545725"/>
        <c:crosses val="autoZero"/>
        <c:majorUnit val="5"/>
      </c:valAx>
      <c:spPr>
        <a:noFill/>
        <a:ln w="9360">
          <a:solidFill>
            <a:srgbClr val="878787"/>
          </a:solidFill>
          <a:round/>
        </a:ln>
      </c:spPr>
    </c:plotArea>
    <c:legend>
      <c:legendPos val="r"/>
      <c:overlay val="0"/>
      <c:spPr>
        <a:noFill/>
        <a:ln>
          <a:noFill/>
        </a:ln>
      </c:spPr>
    </c:legend>
    <c:plotVisOnly val="1"/>
    <c:dispBlanksAs val="gap"/>
  </c:chart>
  <c:spPr>
    <a:solidFill>
      <a:srgbClr val="ffffff"/>
    </a:solidFill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INGRESSANTES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15</c:v>
                </c:pt>
                <c:pt idx="1">
                  <c:v>24</c:v>
                </c:pt>
                <c:pt idx="2">
                  <c:v>20</c:v>
                </c:pt>
                <c:pt idx="3">
                  <c:v>19</c:v>
                </c:pt>
                <c:pt idx="4">
                  <c:v>19</c:v>
                </c:pt>
                <c:pt idx="5">
                  <c:v>17</c:v>
                </c:pt>
                <c:pt idx="6">
                  <c:v>114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FORMADOS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/>
                </c:pt>
                <c:pt idx="5">
                  <c:v/>
                </c:pt>
                <c:pt idx="6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14</c:v>
                </c:pt>
                <c:pt idx="3">
                  <c:v>21</c:v>
                </c:pt>
                <c:pt idx="4">
                  <c:v>21</c:v>
                </c:pt>
                <c:pt idx="5">
                  <c:v>5</c:v>
                </c:pt>
                <c:pt idx="6">
                  <c:v>62</c:v>
                </c:pt>
              </c:numCache>
            </c:numRef>
          </c:val>
        </c:ser>
        <c:gapWidth val="150"/>
        <c:shape val="box"/>
        <c:axId val="69326466"/>
        <c:axId val="62668026"/>
        <c:axId val="0"/>
      </c:bar3DChart>
      <c:catAx>
        <c:axId val="69326466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p>
            <a:pPr>
              <a:defRPr b="0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</a:p>
        </c:txPr>
        <c:crossAx val="62668026"/>
        <c:crosses val="autoZero"/>
        <c:auto val="1"/>
        <c:lblAlgn val="ctr"/>
        <c:lblOffset val="100"/>
      </c:catAx>
      <c:valAx>
        <c:axId val="62668026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p>
            <a:pPr>
              <a:defRPr b="0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</a:p>
        </c:txPr>
        <c:crossAx val="69326466"/>
        <c:crosses val="autoZero"/>
        <c:majorUnit val="5"/>
      </c:valAx>
      <c:spPr>
        <a:noFill/>
        <a:ln w="9360">
          <a:solidFill>
            <a:srgbClr val="878787"/>
          </a:solidFill>
          <a:round/>
        </a:ln>
      </c:spPr>
    </c:plotArea>
    <c:legend>
      <c:legendPos val="r"/>
      <c:overlay val="0"/>
      <c:spPr>
        <a:noFill/>
        <a:ln>
          <a:noFill/>
        </a:ln>
      </c:spPr>
    </c:legend>
    <c:plotVisOnly val="1"/>
    <c:dispBlanksAs val="gap"/>
  </c:chart>
  <c:spPr>
    <a:solidFill>
      <a:srgbClr val="ffffff"/>
    </a:solidFill>
    <a:ln>
      <a:noFill/>
    </a:ln>
  </c:spPr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Application>LibreOffice/5.2.3.3$Windows_x86 LibreOffice_project/d54a8868f08a7b39642414cf2c8ef2f228f780cf</Application>
  <Pages>47</Pages>
  <Words>8849</Words>
  <Characters>50930</Characters>
  <CharactersWithSpaces>59247</CharactersWithSpaces>
  <Paragraphs>664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2019-08-16T19:35:00Z</dcterms:created>
  <dc:creator>Windows User</dc:creator>
  <dc:description/>
  <dc:language>pt-BR</dc:language>
  <cp:lastModifiedBy/>
  <cp:lastPrinted>2019-07-11T14:47:00Z</cp:lastPrinted>
  <dcterms:modified xsi:type="dcterms:W3CDTF">2019-12-09T10:03:40Z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