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6.png" ContentType="image/png"/>
  <Override PartName="/word/media/image5.wmf" ContentType="image/x-wmf"/>
  <Override PartName="/word/media/image1.gif" ContentType="image/gif"/>
  <Override PartName="/word/media/image9.wmf" ContentType="image/x-wmf"/>
  <Override PartName="/word/media/image13.wmf" ContentType="image/x-wmf"/>
  <Override PartName="/word/media/image2.png" ContentType="image/png"/>
  <Override PartName="/word/media/image3.png" ContentType="image/png"/>
  <Override PartName="/word/media/image4.png" ContentType="image/png"/>
  <Override PartName="/word/media/image7.png" ContentType="image/png"/>
  <Override PartName="/word/media/image8.wmf" ContentType="image/x-wmf"/>
  <Override PartName="/word/media/image10.png" ContentType="image/png"/>
  <Override PartName="/word/media/image11.png" ContentType="image/png"/>
  <Override PartName="/word/media/image12.wmf" ContentType="image/x-wmf"/>
  <Override PartName="/word/media/image14.png" ContentType="image/png"/>
  <Override PartName="/word/media/image15.png" ContentType="image/png"/>
  <Override PartName="/word/media/image16.emf" ContentType="image/x-emf"/>
  <Override PartName="/word/media/image17.emf" ContentType="image/x-emf"/>
  <Override PartName="/word/media/image18.emf" ContentType="image/x-emf"/>
  <Override PartName="/word/theme/theme1.xml" ContentType="application/vnd.openxmlformats-officedocument.theme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fontTable.xml" ContentType="application/vnd.openxmlformats-officedocument.wordprocessingml.fontTable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1400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4003"/>
        <w:gridCol w:w="600"/>
        <w:gridCol w:w="52"/>
        <w:gridCol w:w="6744"/>
      </w:tblGrid>
      <w:tr>
        <w:trPr/>
        <w:tc>
          <w:tcPr>
            <w:tcW w:w="4003" w:type="dxa"/>
            <w:tcBorders/>
            <w:shd w:color="auto" w:fill="FFFFFF" w:val="clear"/>
            <w:vAlign w:val="center"/>
          </w:tcPr>
          <w:tbl>
            <w:tblPr>
              <w:tblW w:w="4004" w:type="dxa"/>
              <w:jc w:val="left"/>
              <w:tblInd w:w="0" w:type="dxa"/>
              <w:tblBorders/>
              <w:tblCellMar>
                <w:top w:w="0" w:type="dxa"/>
                <w:left w:w="0" w:type="dxa"/>
                <w:bottom w:w="0" w:type="dxa"/>
                <w:right w:w="0" w:type="dxa"/>
              </w:tblCellMar>
              <w:tblLook w:firstRow="1" w:noVBand="1" w:lastRow="0" w:firstColumn="1" w:lastColumn="0" w:noHBand="0" w:val="04a0"/>
            </w:tblPr>
            <w:tblGrid>
              <w:gridCol w:w="4004"/>
            </w:tblGrid>
            <w:tr>
              <w:trPr/>
              <w:tc>
                <w:tcPr>
                  <w:tcW w:w="4004" w:type="dxa"/>
                  <w:tcBorders/>
                  <w:shd w:color="auto" w:fill="FFFFFF" w:val="clear"/>
                  <w:vAlign w:val="center"/>
                </w:tcPr>
                <w:p>
                  <w:pPr>
                    <w:pStyle w:val="Ttulo3"/>
                    <w:spacing w:before="0" w:after="0"/>
                    <w:rPr>
                      <w:b/>
                      <w:b/>
                      <w:color w:val="202124"/>
                    </w:rPr>
                  </w:pPr>
                  <w:r>
                    <w:rPr>
                      <w:b/>
                      <w:color w:val="202124"/>
                    </w:rPr>
                  </w:r>
                </w:p>
              </w:tc>
            </w:tr>
          </w:tbl>
          <w:p>
            <w:pPr>
              <w:pStyle w:val="Contedodatabela"/>
              <w:spacing w:before="0" w:after="16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00" w:type="dxa"/>
            <w:tcBorders/>
            <w:shd w:color="auto" w:fill="FFFFFF" w:val="clear"/>
            <w:vAlign w:val="center"/>
          </w:tcPr>
          <w:p>
            <w:pPr>
              <w:pStyle w:val="Contedodatabela"/>
              <w:spacing w:before="0" w:after="0"/>
              <w:jc w:val="right"/>
              <w:rPr>
                <w:rFonts w:ascii="Roboto;RobotoDraft;Helvetica;Ar" w:hAnsi="Roboto;RobotoDraft;Helvetica;Ar" w:eastAsia="Roboto;RobotoDraft;Helvetica;Ar" w:cs="Roboto;RobotoDraft;Helvetica;Ar"/>
                <w:color w:val="222222"/>
              </w:rPr>
            </w:pPr>
            <w:r>
              <w:rPr>
                <w:rFonts w:eastAsia="Roboto;RobotoDraft;Helvetica;Ar" w:cs="Roboto;RobotoDraft;Helvetica;Ar" w:ascii="Roboto;RobotoDraft;Helvetica;Ar" w:hAnsi="Roboto;RobotoDraft;Helvetica;Ar"/>
                <w:color w:val="222222"/>
              </w:rPr>
            </w:r>
          </w:p>
        </w:tc>
        <w:tc>
          <w:tcPr>
            <w:tcW w:w="52" w:type="dxa"/>
            <w:tcBorders/>
            <w:shd w:color="auto" w:fill="FFFFFF" w:val="clear"/>
            <w:vAlign w:val="center"/>
          </w:tcPr>
          <w:p>
            <w:pPr>
              <w:pStyle w:val="Contedodatabela"/>
              <w:spacing w:before="0" w:after="16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744" w:type="dxa"/>
            <w:vMerge w:val="restart"/>
            <w:tcBorders/>
            <w:shd w:color="auto" w:fill="FFFFFF" w:val="clear"/>
            <w:vAlign w:val="center"/>
          </w:tcPr>
          <w:tbl>
            <w:tblPr>
              <w:tblW w:w="6670" w:type="dxa"/>
              <w:jc w:val="left"/>
              <w:tblInd w:w="0" w:type="dxa"/>
              <w:tblBorders/>
              <w:tblCellMar>
                <w:top w:w="0" w:type="dxa"/>
                <w:left w:w="0" w:type="dxa"/>
                <w:bottom w:w="0" w:type="dxa"/>
                <w:right w:w="0" w:type="dxa"/>
              </w:tblCellMar>
              <w:tblLook w:firstRow="1" w:noVBand="1" w:lastRow="0" w:firstColumn="1" w:lastColumn="0" w:noHBand="0" w:val="04a0"/>
            </w:tblPr>
            <w:tblGrid>
              <w:gridCol w:w="6670"/>
            </w:tblGrid>
            <w:tr>
              <w:trPr/>
              <w:tc>
                <w:tcPr>
                  <w:tcW w:w="6670" w:type="dxa"/>
                  <w:tcBorders/>
                  <w:shd w:color="auto" w:fill="FFFFFF" w:val="clear"/>
                  <w:vAlign w:val="center"/>
                </w:tcPr>
                <w:p>
                  <w:pPr>
                    <w:pStyle w:val="Contedodatabela"/>
                    <w:spacing w:lineRule="auto" w:line="259" w:before="0" w:after="0"/>
                    <w:ind w:left="60" w:hanging="0"/>
                    <w:rPr/>
                  </w:pPr>
                  <w:bookmarkStart w:id="0" w:name=":2uv"/>
                  <w:bookmarkEnd w:id="0"/>
                  <w:r>
                    <w:rPr/>
                    <w:drawing>
                      <wp:inline distT="0" distB="0" distL="0" distR="0">
                        <wp:extent cx="190500" cy="190500"/>
                        <wp:effectExtent l="0" t="0" r="0" b="0"/>
                        <wp:docPr id="1" name="Figura3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Figura3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>
            <w:pPr>
              <w:pStyle w:val="Contedodatabela"/>
              <w:rPr/>
            </w:pPr>
            <w:r>
              <w:rPr/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655" w:type="dxa"/>
            <w:gridSpan w:val="3"/>
            <w:tcBorders/>
            <w:shd w:color="auto" w:fill="FFFFFF" w:val="clear"/>
            <w:vAlign w:val="center"/>
          </w:tcPr>
          <w:p>
            <w:pPr>
              <w:pStyle w:val="Contedodatabela"/>
              <w:spacing w:before="0" w:after="16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744" w:type="dxa"/>
            <w:vMerge w:val="continue"/>
            <w:tcBorders/>
            <w:shd w:color="auto" w:fill="FFFFFF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</w:tbl>
    <w:p>
      <w:pPr>
        <w:pStyle w:val="Normal"/>
        <w:tabs>
          <w:tab w:val="left" w:pos="7140" w:leader="none"/>
        </w:tabs>
        <w:spacing w:before="0" w:after="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MINISTÉRIO DA EDUCAÇÃO</w:t>
      </w:r>
    </w:p>
    <w:p>
      <w:pPr>
        <w:pStyle w:val="Normal"/>
        <w:tabs>
          <w:tab w:val="left" w:pos="7140" w:leader="none"/>
        </w:tabs>
        <w:spacing w:before="0" w:after="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UNIVERSIDADE FEDERAL DE SANTA MARIA – UFSM</w:t>
      </w:r>
    </w:p>
    <w:p>
      <w:pPr>
        <w:pStyle w:val="Normal"/>
        <w:tabs>
          <w:tab w:val="left" w:pos="7140" w:leader="none"/>
        </w:tabs>
        <w:spacing w:before="0" w:after="0"/>
        <w:rPr/>
      </w:pPr>
      <w:r>
        <w:rPr>
          <w:rFonts w:ascii="Arial" w:hAnsi="Arial"/>
          <w:sz w:val="28"/>
          <w:szCs w:val="28"/>
        </w:rPr>
        <w:t>CENTRO DE EDUCAÇÃO FÍSICA E DESPORTOS - CEFD</w:t>
      </w:r>
    </w:p>
    <w:p>
      <w:pPr>
        <w:pStyle w:val="Normal"/>
        <w:tabs>
          <w:tab w:val="left" w:pos="7140" w:leader="none"/>
        </w:tabs>
        <w:spacing w:before="0" w:after="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tabs>
          <w:tab w:val="left" w:pos="7140" w:leader="none"/>
        </w:tabs>
        <w:spacing w:before="0" w:after="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tabs>
          <w:tab w:val="left" w:pos="7140" w:leader="none"/>
        </w:tabs>
        <w:spacing w:before="0" w:after="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tabs>
          <w:tab w:val="left" w:pos="7140" w:leader="none"/>
        </w:tabs>
        <w:spacing w:before="0" w:after="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tabs>
          <w:tab w:val="left" w:pos="7140" w:leader="none"/>
        </w:tabs>
        <w:spacing w:before="0" w:after="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tabs>
          <w:tab w:val="left" w:pos="7140" w:leader="none"/>
        </w:tabs>
        <w:spacing w:before="0" w:after="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tabs>
          <w:tab w:val="left" w:pos="7140" w:leader="none"/>
        </w:tabs>
        <w:spacing w:before="0" w:after="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tabs>
          <w:tab w:val="left" w:pos="7140" w:leader="none"/>
        </w:tabs>
        <w:spacing w:before="0" w:after="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tabs>
          <w:tab w:val="left" w:pos="7140" w:leader="none"/>
        </w:tabs>
        <w:spacing w:before="0" w:after="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tabs>
          <w:tab w:val="left" w:pos="7140" w:leader="none"/>
        </w:tabs>
        <w:spacing w:before="0" w:after="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tabs>
          <w:tab w:val="left" w:pos="7140" w:leader="none"/>
        </w:tabs>
        <w:spacing w:before="0" w:after="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tabs>
          <w:tab w:val="left" w:pos="7140" w:leader="none"/>
        </w:tabs>
        <w:spacing w:before="0" w:after="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tabs>
          <w:tab w:val="left" w:pos="7140" w:leader="none"/>
        </w:tabs>
        <w:spacing w:before="0" w:after="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tabs>
          <w:tab w:val="left" w:pos="7140" w:leader="none"/>
        </w:tabs>
        <w:spacing w:before="0" w:after="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tabs>
          <w:tab w:val="left" w:pos="7140" w:leader="none"/>
        </w:tabs>
        <w:spacing w:before="0" w:after="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tabs>
          <w:tab w:val="left" w:pos="7140" w:leader="none"/>
        </w:tabs>
        <w:spacing w:before="0" w:after="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tabs>
          <w:tab w:val="left" w:pos="7140" w:leader="none"/>
        </w:tabs>
        <w:spacing w:before="0" w:after="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spacing w:before="0" w:after="0"/>
        <w:jc w:val="center"/>
        <w:rPr>
          <w:b/>
          <w:b/>
          <w:bCs/>
        </w:rPr>
      </w:pPr>
      <w:r>
        <w:rPr>
          <w:rFonts w:ascii="Arial" w:hAnsi="Arial"/>
          <w:b/>
          <w:bCs/>
          <w:sz w:val="28"/>
          <w:szCs w:val="28"/>
        </w:rPr>
        <w:t xml:space="preserve">PLANO DE DESENVOLVIMENTO DA UNIDADE </w:t>
      </w:r>
    </w:p>
    <w:p>
      <w:pPr>
        <w:pStyle w:val="Normal"/>
        <w:spacing w:before="0" w:after="0"/>
        <w:jc w:val="center"/>
        <w:rPr>
          <w:b/>
          <w:b/>
          <w:bCs/>
        </w:rPr>
      </w:pPr>
      <w:r>
        <w:rPr>
          <w:rFonts w:ascii="Arial" w:hAnsi="Arial"/>
          <w:b/>
          <w:bCs/>
          <w:sz w:val="28"/>
          <w:szCs w:val="28"/>
        </w:rPr>
        <w:t>(PDU/CEFD)</w:t>
      </w:r>
    </w:p>
    <w:p>
      <w:pPr>
        <w:pStyle w:val="Normal"/>
        <w:spacing w:before="0" w:after="0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spacing w:before="0" w:after="0"/>
        <w:jc w:val="center"/>
        <w:rPr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APRESENTAÇÃO</w:t>
      </w:r>
    </w:p>
    <w:p>
      <w:pPr>
        <w:pStyle w:val="Normal"/>
        <w:spacing w:before="0" w:after="0"/>
        <w:jc w:val="center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before="0" w:after="0"/>
        <w:jc w:val="center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360" w:before="0" w:after="0"/>
        <w:jc w:val="both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>O Plano de Desenvolvimento da Unidade do Centro de Educação Física e Desportos (PDU/CEFD 2019-2029) formaliza os esforços de docentes, técnicos administrativos e discentes de Graduação e de Pós-graduação em planejar o futuro da Unidade de ensino. Este Plano é um documento o qual compromete-se com a sua comunidade acadêmica, a Universidade e a sociedade em geral.</w:t>
      </w:r>
    </w:p>
    <w:p>
      <w:pPr>
        <w:pStyle w:val="Normal"/>
        <w:spacing w:lineRule="auto" w:line="360" w:before="0" w:after="0"/>
        <w:jc w:val="both"/>
        <w:rPr/>
      </w:pPr>
      <w:r>
        <w:rPr>
          <w:rFonts w:ascii="Arial" w:hAnsi="Arial"/>
          <w:sz w:val="24"/>
          <w:szCs w:val="24"/>
        </w:rPr>
        <w:tab/>
        <w:t>O início do processo de construção se deu na gestão 2014-2018 do CEFD, Professor Luiz Osório Cruz Portela e Professora. Maria Amélia Roth, onde vários grupos de trabalho dividiram as tarefas de acordo com a ferramenta SWOT/FOFA. Na época os referidos grupos definiram objetivos gerais e iniciaram o processo de delineamento de ações e estratégias. Em 2015 o trabalho de construção do Plano de Desenvolvimento da Unidade do CEFD não teve continuidade.</w:t>
      </w:r>
    </w:p>
    <w:p>
      <w:pPr>
        <w:pStyle w:val="Normal"/>
        <w:spacing w:lineRule="auto" w:line="360" w:before="0" w:after="0"/>
        <w:jc w:val="both"/>
        <w:rPr/>
      </w:pPr>
      <w:r>
        <w:rPr>
          <w:rFonts w:ascii="Arial" w:hAnsi="Arial"/>
          <w:sz w:val="24"/>
          <w:szCs w:val="24"/>
        </w:rPr>
        <w:tab/>
        <w:t>No ano de 2019, a gestão seguinte, Prof. Rosalvo Sawitzki e Professor Gustavo de Oliveira Duarte, retomaram  o processo de construção do PDU. O material já iniciado foi retomado e uma Comissão, com representantes de toda a comunidade acadêmica,  foi constituída para dar seguimento à elaboração do mesmo. Ao Conselho do Centro ficou reservado o papel de aprovar as etapas de trabalho apresentadas pela comissão, além de acompanhar e auxiliar na elaboração do processo.</w:t>
      </w:r>
    </w:p>
    <w:p>
      <w:pPr>
        <w:pStyle w:val="Normal"/>
        <w:spacing w:lineRule="auto" w:line="360" w:before="0" w:after="0"/>
        <w:jc w:val="both"/>
        <w:rPr/>
      </w:pPr>
      <w:r>
        <w:rPr>
          <w:rFonts w:ascii="Arial" w:hAnsi="Arial"/>
          <w:sz w:val="24"/>
          <w:szCs w:val="24"/>
        </w:rPr>
        <w:tab/>
        <w:t xml:space="preserve">A retomada de trabalho se deu a partir de uma reunião com representantes da Pró-Reitoria de Planejamento às chefias do CEFD, no sentido de destacar a importância da finalização do documento, de apresentar caminhos metodológicos e de servir de estrutura de apoio e de assessoramento no decorrer do processo. A Comissão do CEFD deliberou seguir a proposta do PDI da UFSM, mantendo os mesmos desafios institucionais, sendo eles: </w:t>
      </w:r>
      <w:bookmarkStart w:id="1" w:name="__DdeLink__1737_1517591345"/>
      <w:r>
        <w:rPr>
          <w:rFonts w:ascii="Arial" w:hAnsi="Arial"/>
          <w:sz w:val="24"/>
          <w:szCs w:val="24"/>
        </w:rPr>
        <w:t xml:space="preserve">1) </w:t>
      </w:r>
      <w:bookmarkEnd w:id="1"/>
      <w:r>
        <w:rPr>
          <w:rFonts w:ascii="Arial" w:hAnsi="Arial"/>
          <w:sz w:val="24"/>
          <w:szCs w:val="24"/>
        </w:rPr>
        <w:t>Internacionalização; 2) Educação inovadora e transformadora com excelência acadêmica; 3) Inclusão social; 4) Inovação, geração de conhecimento e transferência de tecnologia; 5) Modernização e desenvolvimento organizacional; 6) Desenvolvimento local, regional e nacional e 7) Gestão ambiental.</w:t>
      </w:r>
    </w:p>
    <w:p>
      <w:pPr>
        <w:pStyle w:val="Normal"/>
        <w:spacing w:lineRule="auto" w:line="360" w:before="0" w:after="0"/>
        <w:jc w:val="both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</w:p>
    <w:p>
      <w:pPr>
        <w:pStyle w:val="Normal"/>
        <w:spacing w:before="0" w:after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before="0" w:after="0"/>
        <w:jc w:val="both"/>
        <w:rPr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INTRODUÇÃO</w:t>
      </w:r>
    </w:p>
    <w:p>
      <w:pPr>
        <w:pStyle w:val="Normal"/>
        <w:spacing w:before="0" w:after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before="0" w:after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ascii="Arial" w:hAnsi="Arial"/>
          <w:sz w:val="24"/>
          <w:szCs w:val="24"/>
        </w:rPr>
        <w:tab/>
        <w:t>O Centro de Educação Física e Desportos (CEFD) da Universidade Federal de Santa Maria foi criado em 1970 com a graduação em Educação Física. À época a duração do Curso era de três anos. Atualmente, o Centro de Educação Física é composto por dois Cursos de graduação em Educação Física, Licenciatura e Bacharelado, um curso de Graduação em Dança, Licenciatura, um curso de Especialização em Educação Física Escolar e dois Cursos de Mestrado Acadêmico: em Educação Física e em Gerontologia.</w:t>
      </w:r>
    </w:p>
    <w:p>
      <w:pPr>
        <w:pStyle w:val="Normal"/>
        <w:spacing w:lineRule="auto" w:line="360" w:before="0" w:after="0"/>
        <w:jc w:val="both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>Desde sua criação, o CEFD é composto por três Departamentos: Departamento de Desportos Individuais (DDI); Departamento de Desportos Coletivos (DDC) e Departamento de Métodos e Técnicas Desportivas (DMTD).</w:t>
      </w:r>
    </w:p>
    <w:p>
      <w:pPr>
        <w:pStyle w:val="Normal"/>
        <w:spacing w:lineRule="auto" w:line="360" w:before="0" w:after="0"/>
        <w:jc w:val="both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 xml:space="preserve">Os Cursos que compõe do CEFD apresentam uma forte relação com a docência e com a formação de Professores, bem como com a promoção e prevenção da Saúde e da qualidade de vida, atuando desde a primeira infância até a fase da velhice. </w:t>
      </w:r>
    </w:p>
    <w:p>
      <w:pPr>
        <w:pStyle w:val="Normal"/>
        <w:spacing w:lineRule="auto" w:line="360" w:before="0" w:after="0"/>
        <w:jc w:val="both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>Além dos cursos de graduação e de pós-graduação, o CEFD conta com diferentes laboratórios que visam articular e aprofundar as relações entre Ensino, Pesquisa e Extensão. A infraestrutura do CEFD contempla, além do prédio principal, o Complexo Didático e Artístico (CDA), três ginásios didáticos, piscina térmica, quadras poliesportivas e pista de atletismo.</w:t>
      </w:r>
    </w:p>
    <w:p>
      <w:pPr>
        <w:pStyle w:val="Normal"/>
        <w:spacing w:lineRule="auto" w:line="360" w:before="0" w:after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360" w:before="0" w:after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360" w:before="0" w:after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360" w:before="0" w:after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360" w:before="0" w:after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360" w:before="0" w:after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360" w:before="0" w:after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360" w:before="0" w:after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360" w:before="0" w:after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360" w:before="0" w:after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360" w:before="0" w:after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360" w:before="0" w:after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before="0" w:after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before="0" w:after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>Figura 1 - Estrutura organizacional do Centro de Educação Física e Desportos</w:t>
      </w:r>
    </w:p>
    <w:p>
      <w:pPr>
        <w:pStyle w:val="Normal"/>
        <w:spacing w:before="0" w:after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before="0" w:after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before="0" w:after="0"/>
        <w:jc w:val="both"/>
        <w:rPr>
          <w:rFonts w:ascii="Arial" w:hAnsi="Arial"/>
        </w:rPr>
      </w:pPr>
      <w:r>
        <w:rPr/>
        <w:drawing>
          <wp:inline distT="0" distB="0" distL="0" distR="0">
            <wp:extent cx="6242685" cy="3316605"/>
            <wp:effectExtent l="0" t="0" r="0" b="0"/>
            <wp:docPr id="2" name="Diagrama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iagrama 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0" t="-26533" r="0" b="-297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685" cy="3316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before="0" w:after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before="0" w:after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before="0" w:after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>1. METAS E INDICADORES DO PLANO DE DESENVOLVIMENTO INSTITUCIONAL (PDI) da UFSM</w:t>
      </w:r>
    </w:p>
    <w:p>
      <w:pPr>
        <w:pStyle w:val="Normal"/>
        <w:spacing w:before="0" w:after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360" w:before="0" w:after="0"/>
        <w:jc w:val="both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>Durante o processo de elaboração do PDU, a comissão responsável, a Direção do Centro e a Pró-reitoria de Planejamento estiveram preocupadas em manter um alinhamento entre metas e indicadores gerais do PDI para o PDU. São propostas que visam qualificar os cursos de graduação e de pós-graduação da Universidade e a gestão da Universidade, levando em consideração os parâmetros de avaliação do Ministério da Educação.</w:t>
      </w:r>
    </w:p>
    <w:p>
      <w:pPr>
        <w:pStyle w:val="Normal"/>
        <w:spacing w:lineRule="auto" w:line="360" w:before="0" w:after="0"/>
        <w:jc w:val="both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>A Figura 2 apresenta o plano de Metas da UFSM para 2021, destacando os indicadores selecionados, a atual situação da Universidade e as metas a serem alcançadas até o ano de 2021. As metas traçadas levam em consideração o Desafio 2: Educação Inovadora e transformadora com excelência acadêmica, o Desafio 4: Inovação, geração de conhecimento e transferência de tecnologia e o Desafio 5: Modernização e desenvolvimento organizacional.</w:t>
      </w:r>
    </w:p>
    <w:p>
      <w:pPr>
        <w:pStyle w:val="Normal"/>
        <w:spacing w:before="0" w:after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before="0" w:after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before="0" w:after="0"/>
        <w:jc w:val="both"/>
        <w:rPr/>
      </w:pPr>
      <w:r>
        <w:rPr>
          <w:rFonts w:ascii="Arial" w:hAnsi="Arial"/>
          <w:sz w:val="24"/>
          <w:szCs w:val="24"/>
        </w:rPr>
        <w:t xml:space="preserve">Figura 2 – Metas e indicadores da UFSM </w:t>
      </w:r>
    </w:p>
    <w:p>
      <w:pPr>
        <w:pStyle w:val="Normal"/>
        <w:spacing w:before="0" w:after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before="0" w:after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before="0" w:after="0"/>
        <w:jc w:val="both"/>
        <w:rPr>
          <w:rFonts w:ascii="Arial" w:hAnsi="Arial"/>
        </w:rPr>
      </w:pPr>
      <w:r>
        <w:rPr>
          <w:rFonts w:ascii="Arial" w:hAnsi="Arial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-615315</wp:posOffset>
            </wp:positionH>
            <wp:positionV relativeFrom="paragraph">
              <wp:posOffset>109220</wp:posOffset>
            </wp:positionV>
            <wp:extent cx="7094855" cy="3094355"/>
            <wp:effectExtent l="0" t="0" r="0" b="0"/>
            <wp:wrapSquare wrapText="largest"/>
            <wp:docPr id="3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4855" cy="3094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0" w:after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before="0" w:after="0"/>
        <w:jc w:val="both"/>
        <w:rPr/>
      </w:pPr>
      <w:r>
        <w:rPr>
          <w:rFonts w:ascii="Arial" w:hAnsi="Arial"/>
          <w:sz w:val="24"/>
          <w:szCs w:val="24"/>
        </w:rPr>
        <w:t>Fonte: PROPLAN, 2018.</w:t>
      </w:r>
    </w:p>
    <w:p>
      <w:pPr>
        <w:pStyle w:val="Normal"/>
        <w:spacing w:before="0" w:after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before="0" w:after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before="0" w:after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before="0" w:after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before="0" w:after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before="0" w:after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360" w:before="0" w:after="0"/>
        <w:jc w:val="both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>Os indicadores utilizados para os cursos de graduação são o Conceito Preliminar de Curso (CPC), Conceito de Cursos (CC), nota do ENADE e Taxa de Conclusão de Curso por vagas (TCV). Esses indicadores são vinculados ao Desafio 2 – Educação inovadora e transformadora com excelência acadêmica.</w:t>
      </w:r>
    </w:p>
    <w:p>
      <w:pPr>
        <w:pStyle w:val="Normal"/>
        <w:spacing w:lineRule="auto" w:line="360" w:before="0" w:after="0"/>
        <w:jc w:val="both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>Na figura 3 é possível verificar os conceitos dos Cursos do CEFD.</w:t>
      </w:r>
    </w:p>
    <w:p>
      <w:pPr>
        <w:pStyle w:val="Normal"/>
        <w:spacing w:before="0" w:after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before="0" w:after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before="0" w:after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before="0" w:after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before="0" w:after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before="0" w:after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before="0" w:after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before="0" w:after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before="0" w:after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before="0" w:after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before="0" w:after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before="0" w:after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before="0" w:after="0"/>
        <w:jc w:val="both"/>
        <w:rPr/>
      </w:pPr>
      <w:r>
        <w:rPr>
          <w:rFonts w:ascii="Arial" w:hAnsi="Arial"/>
          <w:sz w:val="24"/>
          <w:szCs w:val="24"/>
        </w:rPr>
        <w:t xml:space="preserve">Figura 3 – </w:t>
      </w:r>
      <w:r>
        <w:rPr>
          <w:rFonts w:ascii="Arial" w:hAnsi="Arial"/>
          <w:sz w:val="24"/>
          <w:szCs w:val="24"/>
        </w:rPr>
        <w:t>Evolução dos Cursos do CEFD</w:t>
      </w:r>
    </w:p>
    <w:p>
      <w:pPr>
        <w:pStyle w:val="Normal"/>
        <w:spacing w:before="0" w:after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before="0" w:after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before="0" w:after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before="0" w:after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before="0" w:after="0"/>
        <w:jc w:val="both"/>
        <w:rPr>
          <w:rFonts w:ascii="Arial" w:hAnsi="Arial"/>
        </w:rPr>
      </w:pPr>
      <w:r>
        <w:rPr>
          <w:rFonts w:ascii="Arial" w:hAnsi="Arial"/>
        </w:rPr>
        <w:drawing>
          <wp:anchor behindDoc="0" distT="0" distB="0" distL="114300" distR="114935" simplePos="0" locked="0" layoutInCell="1" allowOverlap="1" relativeHeight="2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6514465" cy="3641725"/>
            <wp:effectExtent l="0" t="0" r="0" b="0"/>
            <wp:wrapSquare wrapText="bothSides"/>
            <wp:docPr id="4" name="Imagem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1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4465" cy="3641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0" w:after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before="0" w:after="0"/>
        <w:jc w:val="both"/>
        <w:rPr>
          <w:highlight w:val="white"/>
        </w:rPr>
      </w:pPr>
      <w:r>
        <w:rPr>
          <w:rFonts w:ascii="Arial" w:hAnsi="Arial"/>
          <w:sz w:val="24"/>
          <w:szCs w:val="24"/>
          <w:highlight w:val="white"/>
        </w:rPr>
        <w:t>Fonte PROPLAN, 2018.</w:t>
      </w:r>
    </w:p>
    <w:p>
      <w:pPr>
        <w:pStyle w:val="Normal"/>
        <w:spacing w:before="0" w:after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before="0" w:after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ascii="Arial" w:hAnsi="Arial"/>
          <w:sz w:val="24"/>
          <w:szCs w:val="24"/>
        </w:rPr>
        <w:tab/>
        <w:t>A figura 4 apresenta a evolução da taxa de conclusão por vagas (TCV) dos Cursos do CEFD.</w:t>
      </w:r>
    </w:p>
    <w:p>
      <w:pPr>
        <w:pStyle w:val="Normal"/>
        <w:spacing w:before="0" w:after="0"/>
        <w:jc w:val="both"/>
        <w:rPr>
          <w:rFonts w:ascii="Arial" w:hAnsi="Arial"/>
          <w:highlight w:val="yellow"/>
        </w:rPr>
      </w:pPr>
      <w:r>
        <w:rPr>
          <w:rFonts w:ascii="Arial" w:hAnsi="Arial"/>
          <w:highlight w:val="yellow"/>
        </w:rPr>
      </w:r>
    </w:p>
    <w:p>
      <w:pPr>
        <w:pStyle w:val="Normal"/>
        <w:spacing w:before="0" w:after="0"/>
        <w:jc w:val="both"/>
        <w:rPr>
          <w:rFonts w:ascii="Arial" w:hAnsi="Arial"/>
          <w:highlight w:val="yellow"/>
        </w:rPr>
      </w:pPr>
      <w:r>
        <w:rPr>
          <w:rFonts w:ascii="Arial" w:hAnsi="Arial"/>
          <w:highlight w:val="yellow"/>
        </w:rPr>
      </w:r>
    </w:p>
    <w:p>
      <w:pPr>
        <w:pStyle w:val="Normal"/>
        <w:spacing w:before="0" w:after="0"/>
        <w:jc w:val="both"/>
        <w:rPr>
          <w:rFonts w:ascii="Arial" w:hAnsi="Arial"/>
          <w:highlight w:val="yellow"/>
        </w:rPr>
      </w:pPr>
      <w:r>
        <w:rPr>
          <w:rFonts w:ascii="Arial" w:hAnsi="Arial"/>
          <w:highlight w:val="yellow"/>
        </w:rPr>
      </w:r>
    </w:p>
    <w:p>
      <w:pPr>
        <w:pStyle w:val="Normal"/>
        <w:spacing w:before="0" w:after="0"/>
        <w:jc w:val="both"/>
        <w:rPr>
          <w:rFonts w:ascii="Arial" w:hAnsi="Arial"/>
          <w:highlight w:val="yellow"/>
        </w:rPr>
      </w:pPr>
      <w:r>
        <w:rPr>
          <w:rFonts w:ascii="Arial" w:hAnsi="Arial"/>
          <w:highlight w:val="yellow"/>
        </w:rPr>
      </w:r>
    </w:p>
    <w:p>
      <w:pPr>
        <w:pStyle w:val="Normal"/>
        <w:spacing w:before="0" w:after="0"/>
        <w:jc w:val="both"/>
        <w:rPr>
          <w:rFonts w:ascii="Arial" w:hAnsi="Arial"/>
          <w:highlight w:val="yellow"/>
        </w:rPr>
      </w:pPr>
      <w:r>
        <w:rPr>
          <w:rFonts w:ascii="Arial" w:hAnsi="Arial"/>
          <w:highlight w:val="yellow"/>
        </w:rPr>
      </w:r>
    </w:p>
    <w:p>
      <w:pPr>
        <w:pStyle w:val="Normal"/>
        <w:spacing w:before="0" w:after="0"/>
        <w:jc w:val="both"/>
        <w:rPr>
          <w:rFonts w:ascii="Arial" w:hAnsi="Arial"/>
          <w:highlight w:val="yellow"/>
        </w:rPr>
      </w:pPr>
      <w:r>
        <w:rPr>
          <w:rFonts w:ascii="Arial" w:hAnsi="Arial"/>
          <w:highlight w:val="yellow"/>
        </w:rPr>
      </w:r>
    </w:p>
    <w:p>
      <w:pPr>
        <w:pStyle w:val="Normal"/>
        <w:spacing w:before="0" w:after="0"/>
        <w:jc w:val="both"/>
        <w:rPr>
          <w:rFonts w:ascii="Arial" w:hAnsi="Arial"/>
          <w:highlight w:val="yellow"/>
        </w:rPr>
      </w:pPr>
      <w:r>
        <w:rPr>
          <w:rFonts w:ascii="Arial" w:hAnsi="Arial"/>
          <w:highlight w:val="yellow"/>
        </w:rPr>
      </w:r>
    </w:p>
    <w:p>
      <w:pPr>
        <w:pStyle w:val="Normal"/>
        <w:spacing w:before="0" w:after="0"/>
        <w:jc w:val="both"/>
        <w:rPr>
          <w:rFonts w:ascii="Arial" w:hAnsi="Arial"/>
          <w:highlight w:val="yellow"/>
        </w:rPr>
      </w:pPr>
      <w:r>
        <w:rPr>
          <w:rFonts w:ascii="Arial" w:hAnsi="Arial"/>
          <w:highlight w:val="yellow"/>
        </w:rPr>
      </w:r>
    </w:p>
    <w:p>
      <w:pPr>
        <w:pStyle w:val="Normal"/>
        <w:spacing w:before="0" w:after="0"/>
        <w:jc w:val="both"/>
        <w:rPr>
          <w:rFonts w:ascii="Arial" w:hAnsi="Arial"/>
          <w:highlight w:val="yellow"/>
        </w:rPr>
      </w:pPr>
      <w:r>
        <w:rPr>
          <w:rFonts w:ascii="Arial" w:hAnsi="Arial"/>
          <w:highlight w:val="yellow"/>
        </w:rPr>
      </w:r>
    </w:p>
    <w:p>
      <w:pPr>
        <w:pStyle w:val="Normal"/>
        <w:spacing w:before="0" w:after="0"/>
        <w:jc w:val="both"/>
        <w:rPr>
          <w:rFonts w:ascii="Arial" w:hAnsi="Arial"/>
          <w:highlight w:val="yellow"/>
        </w:rPr>
      </w:pPr>
      <w:r>
        <w:rPr>
          <w:rFonts w:ascii="Arial" w:hAnsi="Arial"/>
          <w:highlight w:val="yellow"/>
        </w:rPr>
      </w:r>
    </w:p>
    <w:p>
      <w:pPr>
        <w:pStyle w:val="Normal"/>
        <w:spacing w:before="0" w:after="0"/>
        <w:jc w:val="both"/>
        <w:rPr>
          <w:rFonts w:ascii="Arial" w:hAnsi="Arial"/>
          <w:highlight w:val="yellow"/>
        </w:rPr>
      </w:pPr>
      <w:r>
        <w:rPr>
          <w:rFonts w:ascii="Arial" w:hAnsi="Arial"/>
          <w:highlight w:val="yellow"/>
        </w:rPr>
      </w:r>
    </w:p>
    <w:p>
      <w:pPr>
        <w:pStyle w:val="Normal"/>
        <w:spacing w:before="0" w:after="0"/>
        <w:jc w:val="both"/>
        <w:rPr>
          <w:rFonts w:ascii="Arial" w:hAnsi="Arial"/>
          <w:highlight w:val="yellow"/>
        </w:rPr>
      </w:pPr>
      <w:r>
        <w:rPr>
          <w:rFonts w:ascii="Arial" w:hAnsi="Arial"/>
          <w:highlight w:val="yellow"/>
        </w:rPr>
      </w:r>
    </w:p>
    <w:p>
      <w:pPr>
        <w:pStyle w:val="Normal"/>
        <w:spacing w:before="0" w:after="0"/>
        <w:jc w:val="both"/>
        <w:rPr>
          <w:rFonts w:ascii="Arial" w:hAnsi="Arial"/>
          <w:highlight w:val="yellow"/>
        </w:rPr>
      </w:pPr>
      <w:r>
        <w:rPr>
          <w:rFonts w:ascii="Arial" w:hAnsi="Arial"/>
          <w:highlight w:val="yellow"/>
        </w:rPr>
      </w:r>
    </w:p>
    <w:p>
      <w:pPr>
        <w:pStyle w:val="Normal"/>
        <w:spacing w:before="0" w:after="0"/>
        <w:jc w:val="both"/>
        <w:rPr>
          <w:rFonts w:ascii="Arial" w:hAnsi="Arial"/>
          <w:highlight w:val="yellow"/>
        </w:rPr>
      </w:pPr>
      <w:r>
        <w:rPr>
          <w:rFonts w:ascii="Arial" w:hAnsi="Arial"/>
          <w:highlight w:val="yellow"/>
        </w:rPr>
      </w:r>
    </w:p>
    <w:p>
      <w:pPr>
        <w:pStyle w:val="Normal"/>
        <w:spacing w:before="0" w:after="0"/>
        <w:jc w:val="both"/>
        <w:rPr>
          <w:rFonts w:ascii="Arial" w:hAnsi="Arial"/>
          <w:highlight w:val="yellow"/>
        </w:rPr>
      </w:pPr>
      <w:r>
        <w:rPr>
          <w:rFonts w:ascii="Arial" w:hAnsi="Arial"/>
          <w:highlight w:val="yellow"/>
        </w:rPr>
      </w:r>
    </w:p>
    <w:p>
      <w:pPr>
        <w:pStyle w:val="Normal"/>
        <w:spacing w:before="0" w:after="0"/>
        <w:jc w:val="both"/>
        <w:rPr>
          <w:rFonts w:ascii="Arial" w:hAnsi="Arial"/>
          <w:highlight w:val="yellow"/>
        </w:rPr>
      </w:pPr>
      <w:r>
        <w:rPr>
          <w:rFonts w:ascii="Arial" w:hAnsi="Arial"/>
          <w:highlight w:val="yellow"/>
        </w:rPr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>Figura 4 – Evolução da taxa de conclusão por vagas (TCV) do CEFD</w:t>
      </w:r>
    </w:p>
    <w:p>
      <w:pPr>
        <w:pStyle w:val="Normal"/>
        <w:spacing w:before="0" w:after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before="0" w:after="0"/>
        <w:jc w:val="both"/>
        <w:rPr>
          <w:rFonts w:ascii="Arial" w:hAnsi="Arial"/>
          <w:highlight w:val="yellow"/>
        </w:rPr>
      </w:pPr>
      <w:r>
        <w:rPr>
          <w:rFonts w:ascii="Arial" w:hAnsi="Arial"/>
        </w:rPr>
        <w:t xml:space="preserve">Curso de </w:t>
      </w:r>
      <w:r>
        <w:rPr>
          <w:rFonts w:ascii="Arial" w:hAnsi="Arial"/>
          <w:b/>
          <w:bCs/>
          <w:u w:val="single"/>
        </w:rPr>
        <w:t>Dança Licenciatura</w:t>
      </w:r>
    </w:p>
    <w:p>
      <w:pPr>
        <w:pStyle w:val="Normal"/>
        <w:spacing w:before="0" w:after="0"/>
        <w:jc w:val="both"/>
        <w:rPr>
          <w:rFonts w:ascii="Arial" w:hAnsi="Arial"/>
          <w:highlight w:val="yellow"/>
        </w:rPr>
      </w:pPr>
      <w:r>
        <w:rPr>
          <w:rFonts w:ascii="Arial" w:hAnsi="Arial"/>
          <w:highlight w:val="yellow"/>
        </w:rPr>
      </w:r>
    </w:p>
    <w:p>
      <w:pPr>
        <w:pStyle w:val="Normal"/>
        <w:spacing w:before="0" w:after="0"/>
        <w:jc w:val="both"/>
        <w:rPr>
          <w:rFonts w:ascii="Arial" w:hAnsi="Arial"/>
          <w:highlight w:val="yellow"/>
        </w:rPr>
      </w:pPr>
      <w:r>
        <w:rPr/>
        <w:drawing>
          <wp:inline distT="0" distB="0" distL="0" distR="0">
            <wp:extent cx="5114925" cy="2115820"/>
            <wp:effectExtent l="0" t="0" r="0" b="0"/>
            <wp:docPr id="5" name="Imagem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3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2115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0"/>
        <w:jc w:val="both"/>
        <w:rPr>
          <w:rFonts w:ascii="Arial" w:hAnsi="Arial"/>
          <w:highlight w:val="yellow"/>
        </w:rPr>
      </w:pPr>
      <w:r>
        <w:rPr>
          <w:rFonts w:ascii="Arial" w:hAnsi="Arial"/>
          <w:highlight w:val="yellow"/>
        </w:rPr>
      </w:r>
    </w:p>
    <w:p>
      <w:pPr>
        <w:pStyle w:val="Normal"/>
        <w:spacing w:before="0" w:after="0"/>
        <w:jc w:val="both"/>
        <w:rPr>
          <w:rFonts w:ascii="Arial" w:hAnsi="Arial"/>
          <w:highlight w:val="yellow"/>
        </w:rPr>
      </w:pPr>
      <w:r>
        <w:rPr>
          <w:rFonts w:ascii="Arial" w:hAnsi="Arial"/>
          <w:highlight w:val="yellow"/>
        </w:rPr>
      </w:r>
    </w:p>
    <w:p>
      <w:pPr>
        <w:pStyle w:val="Normal"/>
        <w:spacing w:before="0" w:after="0"/>
        <w:jc w:val="both"/>
        <w:rPr>
          <w:rFonts w:ascii="Arial" w:hAnsi="Arial"/>
          <w:highlight w:val="yellow"/>
        </w:rPr>
      </w:pPr>
      <w:r>
        <w:rPr/>
        <w:drawing>
          <wp:inline distT="0" distB="0" distL="0" distR="0">
            <wp:extent cx="4991100" cy="2478405"/>
            <wp:effectExtent l="0" t="0" r="0" b="0"/>
            <wp:docPr id="6" name="Imagem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4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2478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0"/>
        <w:jc w:val="both"/>
        <w:rPr>
          <w:rFonts w:ascii="Arial" w:hAnsi="Arial"/>
          <w:highlight w:val="yellow"/>
        </w:rPr>
      </w:pPr>
      <w:r>
        <w:rPr/>
        <w:drawing>
          <wp:inline distT="0" distB="0" distL="0" distR="0">
            <wp:extent cx="5400040" cy="2984500"/>
            <wp:effectExtent l="0" t="0" r="0" b="0"/>
            <wp:docPr id="7" name="Imagem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5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98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0"/>
        <w:jc w:val="both"/>
        <w:rPr>
          <w:rFonts w:ascii="Arial" w:hAnsi="Arial"/>
          <w:highlight w:val="yellow"/>
        </w:rPr>
      </w:pPr>
      <w:r>
        <w:rPr>
          <w:rFonts w:ascii="Arial" w:hAnsi="Arial"/>
          <w:highlight w:val="yellow"/>
        </w:rPr>
      </w:r>
    </w:p>
    <w:p>
      <w:pPr>
        <w:pStyle w:val="Normal"/>
        <w:spacing w:before="0" w:after="0"/>
        <w:jc w:val="both"/>
        <w:rPr/>
      </w:pPr>
      <w:r>
        <w:rPr>
          <w:rFonts w:ascii="Arial" w:hAnsi="Arial"/>
        </w:rPr>
        <w:tab/>
        <w:t>A partir do ano de 2017 o Curso aumentou a Taxa de Conclusão do Curso. Em 2017 o Curso de Dança Licenciatura formou 7 alunos/as -  (46 %), em 2018 foram  4 alunos/s – (26,6 %) e em 2019 – 7 alunos – (46 %), totalizando 4 turmas.</w:t>
      </w:r>
    </w:p>
    <w:p>
      <w:pPr>
        <w:pStyle w:val="Normal"/>
        <w:spacing w:before="0" w:after="0"/>
        <w:jc w:val="both"/>
        <w:rPr>
          <w:rFonts w:ascii="Arial" w:hAnsi="Arial"/>
          <w:highlight w:val="yellow"/>
        </w:rPr>
      </w:pPr>
      <w:r>
        <w:rPr>
          <w:rFonts w:ascii="Arial" w:hAnsi="Arial"/>
          <w:highlight w:val="yellow"/>
        </w:rPr>
      </w:r>
    </w:p>
    <w:p>
      <w:pPr>
        <w:pStyle w:val="Normal"/>
        <w:spacing w:before="0" w:after="0"/>
        <w:jc w:val="both"/>
        <w:rPr>
          <w:rFonts w:ascii="Arial" w:hAnsi="Arial"/>
          <w:highlight w:val="yellow"/>
        </w:rPr>
      </w:pPr>
      <w:r>
        <w:rPr>
          <w:rFonts w:ascii="Arial" w:hAnsi="Arial"/>
          <w:highlight w:val="yellow"/>
        </w:rPr>
      </w:r>
    </w:p>
    <w:p>
      <w:pPr>
        <w:pStyle w:val="Normal"/>
        <w:spacing w:before="0" w:after="0"/>
        <w:jc w:val="both"/>
        <w:rPr>
          <w:rFonts w:ascii="Arial" w:hAnsi="Arial"/>
          <w:highlight w:val="yellow"/>
        </w:rPr>
      </w:pPr>
      <w:r>
        <w:rPr>
          <w:rFonts w:ascii="Arial" w:hAnsi="Arial"/>
          <w:highlight w:val="yellow"/>
        </w:rPr>
      </w:r>
    </w:p>
    <w:p>
      <w:pPr>
        <w:pStyle w:val="Normal"/>
        <w:spacing w:before="0" w:after="0"/>
        <w:jc w:val="both"/>
        <w:rPr>
          <w:rFonts w:ascii="Arial" w:hAnsi="Arial"/>
          <w:highlight w:val="yellow"/>
        </w:rPr>
      </w:pPr>
      <w:r>
        <w:rPr>
          <w:rFonts w:ascii="Arial" w:hAnsi="Arial"/>
          <w:highlight w:val="yellow"/>
        </w:rPr>
      </w:r>
    </w:p>
    <w:p>
      <w:pPr>
        <w:pStyle w:val="Normal"/>
        <w:spacing w:before="0" w:after="0"/>
        <w:jc w:val="both"/>
        <w:rPr>
          <w:rFonts w:ascii="Arial" w:hAnsi="Arial"/>
          <w:highlight w:val="yellow"/>
        </w:rPr>
      </w:pPr>
      <w:r>
        <w:rPr>
          <w:rFonts w:ascii="Arial" w:hAnsi="Arial"/>
          <w:highlight w:val="yellow"/>
        </w:rPr>
      </w:r>
    </w:p>
    <w:p>
      <w:pPr>
        <w:pStyle w:val="Normal"/>
        <w:spacing w:before="0" w:after="0"/>
        <w:jc w:val="both"/>
        <w:rPr>
          <w:rFonts w:ascii="Arial" w:hAnsi="Arial"/>
          <w:highlight w:val="yellow"/>
        </w:rPr>
      </w:pPr>
      <w:r>
        <w:rPr/>
        <w:drawing>
          <wp:inline distT="0" distB="0" distL="0" distR="0">
            <wp:extent cx="5400040" cy="238125"/>
            <wp:effectExtent l="0" t="0" r="0" b="0"/>
            <wp:docPr id="8" name="Imagem 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m 6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0"/>
        <w:jc w:val="both"/>
        <w:rPr>
          <w:rFonts w:ascii="Arial" w:hAnsi="Arial"/>
          <w:highlight w:val="yellow"/>
        </w:rPr>
      </w:pPr>
      <w:r>
        <w:rPr>
          <w:rFonts w:ascii="Arial" w:hAnsi="Arial"/>
          <w:highlight w:val="yellow"/>
        </w:rPr>
      </w:r>
    </w:p>
    <w:p>
      <w:pPr>
        <w:pStyle w:val="Normal"/>
        <w:spacing w:before="0" w:after="0"/>
        <w:jc w:val="both"/>
        <w:rPr>
          <w:rFonts w:ascii="Arial" w:hAnsi="Arial"/>
          <w:highlight w:val="yellow"/>
        </w:rPr>
      </w:pPr>
      <w:r>
        <w:rPr/>
        <w:drawing>
          <wp:inline distT="0" distB="0" distL="0" distR="0">
            <wp:extent cx="5400040" cy="2233930"/>
            <wp:effectExtent l="0" t="0" r="0" b="0"/>
            <wp:docPr id="9" name="Imagem 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m 8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233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0"/>
        <w:jc w:val="both"/>
        <w:rPr>
          <w:rFonts w:ascii="Arial" w:hAnsi="Arial"/>
          <w:highlight w:val="yellow"/>
        </w:rPr>
      </w:pPr>
      <w:r>
        <w:rPr>
          <w:rFonts w:ascii="Arial" w:hAnsi="Arial"/>
          <w:highlight w:val="yellow"/>
        </w:rPr>
      </w:r>
    </w:p>
    <w:p>
      <w:pPr>
        <w:pStyle w:val="Normal"/>
        <w:spacing w:before="0" w:after="0"/>
        <w:jc w:val="both"/>
        <w:rPr>
          <w:rFonts w:ascii="Arial" w:hAnsi="Arial"/>
          <w:highlight w:val="yellow"/>
        </w:rPr>
      </w:pPr>
      <w:r>
        <w:rPr/>
        <w:drawing>
          <wp:inline distT="0" distB="0" distL="0" distR="0">
            <wp:extent cx="5382895" cy="2672715"/>
            <wp:effectExtent l="0" t="0" r="0" b="0"/>
            <wp:docPr id="10" name="Imagem 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m 9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2895" cy="2672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0"/>
        <w:jc w:val="both"/>
        <w:rPr>
          <w:rFonts w:ascii="Arial" w:hAnsi="Arial"/>
          <w:highlight w:val="yellow"/>
        </w:rPr>
      </w:pPr>
      <w:r>
        <w:rPr>
          <w:rFonts w:ascii="Arial" w:hAnsi="Arial"/>
          <w:highlight w:val="yellow"/>
        </w:rPr>
      </w:r>
    </w:p>
    <w:p>
      <w:pPr>
        <w:pStyle w:val="Normal"/>
        <w:spacing w:before="0" w:after="0"/>
        <w:jc w:val="both"/>
        <w:rPr>
          <w:rFonts w:ascii="Arial" w:hAnsi="Arial"/>
          <w:highlight w:val="yellow"/>
        </w:rPr>
      </w:pPr>
      <w:r>
        <w:rPr>
          <w:rFonts w:ascii="Arial" w:hAnsi="Arial"/>
          <w:highlight w:val="yellow"/>
        </w:rPr>
      </w:r>
    </w:p>
    <w:p>
      <w:pPr>
        <w:pStyle w:val="Normal"/>
        <w:spacing w:before="0" w:after="0"/>
        <w:jc w:val="both"/>
        <w:rPr>
          <w:rFonts w:ascii="Arial" w:hAnsi="Arial"/>
          <w:highlight w:val="yellow"/>
        </w:rPr>
      </w:pPr>
      <w:r>
        <w:rPr/>
        <w:drawing>
          <wp:inline distT="0" distB="0" distL="0" distR="0">
            <wp:extent cx="5382895" cy="2974975"/>
            <wp:effectExtent l="0" t="0" r="0" b="0"/>
            <wp:docPr id="11" name="Imagem 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m 11" descr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2895" cy="297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0"/>
        <w:jc w:val="both"/>
        <w:rPr>
          <w:rFonts w:ascii="Arial" w:hAnsi="Arial"/>
          <w:highlight w:val="yellow"/>
        </w:rPr>
      </w:pPr>
      <w:r>
        <w:rPr>
          <w:rFonts w:ascii="Arial" w:hAnsi="Arial"/>
          <w:highlight w:val="yellow"/>
        </w:rPr>
      </w:r>
    </w:p>
    <w:p>
      <w:pPr>
        <w:pStyle w:val="Normal"/>
        <w:spacing w:before="0" w:after="0"/>
        <w:jc w:val="both"/>
        <w:rPr>
          <w:rFonts w:ascii="Arial" w:hAnsi="Arial"/>
          <w:highlight w:val="yellow"/>
        </w:rPr>
      </w:pPr>
      <w:r>
        <w:rPr>
          <w:rFonts w:ascii="Arial" w:hAnsi="Arial"/>
          <w:highlight w:val="yellow"/>
        </w:rPr>
      </w:r>
    </w:p>
    <w:p>
      <w:pPr>
        <w:pStyle w:val="Normal"/>
        <w:spacing w:before="0" w:after="0"/>
        <w:jc w:val="both"/>
        <w:rPr>
          <w:rFonts w:ascii="Arial" w:hAnsi="Arial"/>
          <w:highlight w:val="yellow"/>
        </w:rPr>
      </w:pPr>
      <w:r>
        <w:rPr/>
        <w:drawing>
          <wp:inline distT="0" distB="0" distL="0" distR="0">
            <wp:extent cx="5400040" cy="238125"/>
            <wp:effectExtent l="0" t="0" r="0" b="0"/>
            <wp:docPr id="12" name="Imagem 1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m 12" descr="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0"/>
        <w:jc w:val="both"/>
        <w:rPr>
          <w:rFonts w:ascii="Arial" w:hAnsi="Arial"/>
          <w:highlight w:val="yellow"/>
        </w:rPr>
      </w:pPr>
      <w:r>
        <w:rPr>
          <w:rFonts w:ascii="Arial" w:hAnsi="Arial"/>
          <w:highlight w:val="yellow"/>
        </w:rPr>
      </w:r>
    </w:p>
    <w:p>
      <w:pPr>
        <w:pStyle w:val="Normal"/>
        <w:spacing w:before="0" w:after="0"/>
        <w:jc w:val="both"/>
        <w:rPr>
          <w:rFonts w:ascii="Arial" w:hAnsi="Arial"/>
          <w:highlight w:val="yellow"/>
        </w:rPr>
      </w:pPr>
      <w:r>
        <w:rPr>
          <w:rFonts w:ascii="Arial" w:hAnsi="Arial"/>
          <w:highlight w:val="yellow"/>
        </w:rPr>
      </w:r>
    </w:p>
    <w:p>
      <w:pPr>
        <w:pStyle w:val="Normal"/>
        <w:spacing w:before="0" w:after="0"/>
        <w:jc w:val="both"/>
        <w:rPr>
          <w:rFonts w:ascii="Arial" w:hAnsi="Arial"/>
          <w:highlight w:val="yellow"/>
        </w:rPr>
      </w:pPr>
      <w:r>
        <w:rPr/>
        <w:drawing>
          <wp:inline distT="0" distB="0" distL="0" distR="0">
            <wp:extent cx="5400040" cy="2233930"/>
            <wp:effectExtent l="0" t="0" r="0" b="0"/>
            <wp:docPr id="13" name="Imagem 1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m 13" descr="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233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0"/>
        <w:jc w:val="both"/>
        <w:rPr>
          <w:rFonts w:ascii="Arial" w:hAnsi="Arial"/>
          <w:highlight w:val="yellow"/>
        </w:rPr>
      </w:pPr>
      <w:r>
        <w:rPr>
          <w:rFonts w:ascii="Arial" w:hAnsi="Arial"/>
          <w:highlight w:val="yellow"/>
        </w:rPr>
      </w:r>
    </w:p>
    <w:p>
      <w:pPr>
        <w:pStyle w:val="Normal"/>
        <w:spacing w:before="0" w:after="0"/>
        <w:jc w:val="both"/>
        <w:rPr>
          <w:rFonts w:ascii="Arial" w:hAnsi="Arial"/>
          <w:sz w:val="24"/>
          <w:szCs w:val="24"/>
          <w:highlight w:val="yellow"/>
        </w:rPr>
      </w:pPr>
      <w:r>
        <w:rPr>
          <w:rFonts w:ascii="Arial" w:hAnsi="Arial"/>
          <w:sz w:val="24"/>
          <w:szCs w:val="24"/>
          <w:highlight w:val="yellow"/>
        </w:rPr>
      </w:r>
    </w:p>
    <w:p>
      <w:pPr>
        <w:pStyle w:val="Normal"/>
        <w:spacing w:before="0" w:after="0"/>
        <w:jc w:val="both"/>
        <w:rPr/>
      </w:pPr>
      <w:r>
        <w:rPr/>
        <w:drawing>
          <wp:inline distT="0" distB="0" distL="0" distR="0">
            <wp:extent cx="5400040" cy="2680970"/>
            <wp:effectExtent l="0" t="0" r="0" b="0"/>
            <wp:docPr id="14" name="Imagem 1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m 15" descr="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680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0"/>
        <w:jc w:val="both"/>
        <w:rPr>
          <w:rFonts w:ascii="Arial" w:hAnsi="Arial"/>
          <w:sz w:val="24"/>
          <w:szCs w:val="24"/>
          <w:highlight w:val="yellow"/>
        </w:rPr>
      </w:pPr>
      <w:r>
        <w:rPr>
          <w:rFonts w:ascii="Arial" w:hAnsi="Arial"/>
          <w:sz w:val="24"/>
          <w:szCs w:val="24"/>
          <w:highlight w:val="yellow"/>
        </w:rPr>
      </w:r>
    </w:p>
    <w:p>
      <w:pPr>
        <w:pStyle w:val="Normal"/>
        <w:spacing w:before="0" w:after="0"/>
        <w:jc w:val="both"/>
        <w:rPr/>
      </w:pPr>
      <w:r>
        <w:rPr/>
        <w:drawing>
          <wp:inline distT="0" distB="0" distL="0" distR="0">
            <wp:extent cx="5414645" cy="2992755"/>
            <wp:effectExtent l="0" t="0" r="0" b="0"/>
            <wp:docPr id="15" name="Imagem 1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m 16" descr="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4645" cy="2992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0"/>
        <w:jc w:val="both"/>
        <w:rPr>
          <w:rFonts w:ascii="Arial" w:hAnsi="Arial"/>
          <w:sz w:val="24"/>
          <w:szCs w:val="24"/>
          <w:highlight w:val="yellow"/>
        </w:rPr>
      </w:pPr>
      <w:r>
        <w:rPr>
          <w:rFonts w:ascii="Arial" w:hAnsi="Arial"/>
          <w:sz w:val="24"/>
          <w:szCs w:val="24"/>
          <w:highlight w:val="yellow"/>
        </w:rPr>
      </w:r>
    </w:p>
    <w:p>
      <w:pPr>
        <w:pStyle w:val="Normal"/>
        <w:spacing w:before="0" w:after="0"/>
        <w:jc w:val="both"/>
        <w:rPr>
          <w:rFonts w:ascii="Arial" w:hAnsi="Arial"/>
          <w:sz w:val="24"/>
          <w:szCs w:val="24"/>
          <w:highlight w:val="yellow"/>
        </w:rPr>
      </w:pPr>
      <w:r>
        <w:rPr>
          <w:rFonts w:ascii="Arial" w:hAnsi="Arial"/>
          <w:sz w:val="24"/>
          <w:szCs w:val="24"/>
          <w:highlight w:val="yellow"/>
        </w:rPr>
      </w:r>
    </w:p>
    <w:p>
      <w:pPr>
        <w:pStyle w:val="Normal"/>
        <w:spacing w:before="0" w:after="0"/>
        <w:jc w:val="both"/>
        <w:rPr/>
      </w:pPr>
      <w:r>
        <w:rPr>
          <w:rFonts w:ascii="Arial" w:hAnsi="Arial"/>
          <w:sz w:val="24"/>
          <w:szCs w:val="24"/>
        </w:rPr>
        <w:t>Fonte: PROPLAN, 2018.</w:t>
      </w:r>
    </w:p>
    <w:p>
      <w:pPr>
        <w:pStyle w:val="Normal"/>
        <w:spacing w:before="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</w:p>
    <w:p>
      <w:pPr>
        <w:pStyle w:val="Normal"/>
        <w:spacing w:lineRule="auto" w:line="360" w:before="0" w:after="0"/>
        <w:ind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firstLine="708"/>
        <w:jc w:val="both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>Os Cursos de Pós-graduação são avaliados pela Coordenação de Aperfeiçoamento de Pessoal de Nível Superior – CAPES, vinculada ao MEC. A avaliação consiste e, uma escala de 1 a 7. Os cursos que recebem notas 1 e 2</w:t>
      </w:r>
    </w:p>
    <w:p>
      <w:pPr>
        <w:pStyle w:val="Normal"/>
        <w:spacing w:lineRule="auto" w:line="360" w:before="0" w:after="0"/>
        <w:jc w:val="both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>A Figura 5 apresenta um quadro resumo dos indicadores da Pós-graduação (PPGS) da UFSM e do CEFD.</w:t>
      </w:r>
    </w:p>
    <w:p>
      <w:pPr>
        <w:pStyle w:val="Normal"/>
        <w:spacing w:before="0" w:after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before="0" w:after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before="0" w:after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before="0" w:after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before="0" w:after="0"/>
        <w:jc w:val="both"/>
        <w:rPr>
          <w:rFonts w:ascii="Arial" w:hAnsi="Arial"/>
        </w:rPr>
      </w:pPr>
      <w:r>
        <w:rPr>
          <w:rFonts w:ascii="Arial" w:hAnsi="Arial"/>
        </w:rPr>
        <w:t xml:space="preserve">PPGS </w:t>
        <w:tab/>
        <w:t>com conceito CAPES 4 ou maior, com e sem Doutorado na UFSM – 2017.</w:t>
      </w:r>
    </w:p>
    <w:p>
      <w:pPr>
        <w:pStyle w:val="Normal"/>
        <w:spacing w:before="0" w:after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240" w:before="0" w:after="0"/>
        <w:jc w:val="center"/>
        <w:rPr>
          <w:rFonts w:ascii="Arial" w:hAnsi="Arial"/>
        </w:rPr>
      </w:pPr>
      <w:r>
        <w:rPr/>
        <w:object>
          <v:shape id="ole_rId17" style="width:217.25pt;height:180.9pt" o:ole="">
            <v:imagedata r:id="rId18" o:title=""/>
          </v:shape>
          <o:OLEObject Type="Embed" ProgID="" ShapeID="ole_rId17" DrawAspect="Content" ObjectID="_232354195" r:id="rId17"/>
        </w:object>
      </w:r>
      <w:r>
        <w:rPr>
          <w:rFonts w:ascii="Arial" w:hAnsi="Arial"/>
          <w:b/>
          <w:bCs/>
          <w:color w:val="FFFFFF" w:themeColor="background1"/>
          <w:sz w:val="28"/>
          <w:szCs w:val="32"/>
        </w:rPr>
        <w:t xml:space="preserve"> </w:t>
      </w:r>
      <w:r>
        <w:rPr>
          <w:rFonts w:ascii="Arial" w:hAnsi="Arial"/>
          <w:b/>
          <w:bCs/>
          <w:color w:val="FFFFFF" w:themeColor="background1"/>
          <w:sz w:val="28"/>
          <w:szCs w:val="32"/>
        </w:rPr>
        <w:t>sem doutorado na UFSM – 2017</w:t>
      </w:r>
    </w:p>
    <w:p>
      <w:pPr>
        <w:pStyle w:val="Normal"/>
        <w:spacing w:before="0" w:after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before="0" w:after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before="0" w:after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before="0" w:after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before="0" w:after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before="0" w:after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before="0" w:after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before="0" w:after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before="0" w:after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before="0" w:after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before="0" w:after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before="0" w:after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before="0" w:after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before="0" w:after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before="0" w:after="0"/>
        <w:jc w:val="both"/>
        <w:rPr>
          <w:rFonts w:ascii="Arial" w:hAnsi="Arial"/>
        </w:rPr>
      </w:pPr>
      <w:r>
        <w:rPr/>
        <w:object>
          <v:shape id="ole_rId19" style="width:475.65pt;height:204.05pt" o:ole="">
            <v:imagedata r:id="rId20" o:title=""/>
          </v:shape>
          <o:OLEObject Type="Embed" ProgID="" ShapeID="ole_rId19" DrawAspect="Content" ObjectID="_931177851" r:id="rId19"/>
        </w:object>
      </w:r>
    </w:p>
    <w:p>
      <w:pPr>
        <w:pStyle w:val="Normal"/>
        <w:spacing w:before="0" w:after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before="0" w:after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before="0" w:after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before="0" w:after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before="0" w:after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before="0" w:after="0"/>
        <w:jc w:val="both"/>
        <w:rPr/>
      </w:pPr>
      <w:r>
        <w:rPr/>
        <w:object>
          <v:shape id="ole_rId21" style="width:315.5pt;height:725.15pt" o:ole="">
            <v:imagedata r:id="rId22" o:title=""/>
          </v:shape>
          <o:OLEObject Type="Embed" ProgID="" ShapeID="ole_rId21" DrawAspect="Content" ObjectID="_1418891527" r:id="rId21"/>
        </w:object>
      </w:r>
    </w:p>
    <w:p>
      <w:pPr>
        <w:pStyle w:val="Normal"/>
        <w:spacing w:before="0" w:after="0"/>
        <w:jc w:val="both"/>
        <w:rPr/>
      </w:pPr>
      <w:r>
        <w:rPr>
          <w:rFonts w:ascii="Arial" w:hAnsi="Arial"/>
          <w:b/>
          <w:color w:val="00000A"/>
          <w:sz w:val="24"/>
          <w:szCs w:val="24"/>
        </w:rPr>
        <w:t>Especialização em Educação Física Escolar</w:t>
      </w:r>
    </w:p>
    <w:p>
      <w:pPr>
        <w:pStyle w:val="Normal"/>
        <w:spacing w:before="0" w:after="0"/>
        <w:jc w:val="both"/>
        <w:rPr>
          <w:rFonts w:ascii="Arial" w:hAnsi="Arial"/>
          <w:b/>
          <w:b/>
          <w:color w:val="00000A"/>
          <w:sz w:val="24"/>
          <w:szCs w:val="24"/>
        </w:rPr>
      </w:pPr>
      <w:r>
        <w:rPr>
          <w:rFonts w:ascii="Arial" w:hAnsi="Arial"/>
          <w:b/>
          <w:color w:val="00000A"/>
          <w:sz w:val="24"/>
          <w:szCs w:val="24"/>
        </w:rPr>
      </w:r>
    </w:p>
    <w:p>
      <w:pPr>
        <w:pStyle w:val="Normal"/>
        <w:spacing w:before="0" w:after="0"/>
        <w:jc w:val="both"/>
        <w:rPr/>
      </w:pPr>
      <w:r>
        <w:rPr/>
        <w:drawing>
          <wp:inline distT="0" distB="0" distL="0" distR="0">
            <wp:extent cx="5400040" cy="3611245"/>
            <wp:effectExtent l="0" t="0" r="0" b="0"/>
            <wp:docPr id="16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>
      <w:pPr>
        <w:pStyle w:val="Normal"/>
        <w:spacing w:before="0" w:after="0"/>
        <w:jc w:val="both"/>
        <w:rPr>
          <w:rFonts w:ascii="Arial" w:hAnsi="Arial"/>
          <w:b/>
          <w:b/>
          <w:color w:val="00000A"/>
          <w:sz w:val="24"/>
          <w:szCs w:val="24"/>
        </w:rPr>
      </w:pPr>
      <w:r>
        <w:rPr>
          <w:rFonts w:ascii="Arial" w:hAnsi="Arial"/>
          <w:b/>
          <w:color w:val="00000A"/>
          <w:sz w:val="24"/>
          <w:szCs w:val="24"/>
        </w:rPr>
      </w:r>
    </w:p>
    <w:p>
      <w:pPr>
        <w:pStyle w:val="Normal"/>
        <w:spacing w:before="0" w:after="0"/>
        <w:jc w:val="both"/>
        <w:rPr/>
      </w:pPr>
      <w:r>
        <w:rPr>
          <w:rFonts w:ascii="Arial" w:hAnsi="Arial"/>
          <w:b/>
          <w:color w:val="00000A"/>
          <w:sz w:val="24"/>
          <w:szCs w:val="24"/>
        </w:rPr>
        <w:t xml:space="preserve">Mestrado em Educação Física </w:t>
      </w:r>
    </w:p>
    <w:p>
      <w:pPr>
        <w:pStyle w:val="Normal"/>
        <w:spacing w:before="0" w:after="0"/>
        <w:jc w:val="both"/>
        <w:rPr>
          <w:rFonts w:ascii="Arial" w:hAnsi="Arial"/>
          <w:b/>
          <w:b/>
          <w:color w:val="00000A"/>
          <w:sz w:val="24"/>
          <w:szCs w:val="24"/>
        </w:rPr>
      </w:pPr>
      <w:r>
        <w:rPr>
          <w:rFonts w:ascii="Arial" w:hAnsi="Arial"/>
          <w:b/>
          <w:color w:val="00000A"/>
          <w:sz w:val="24"/>
          <w:szCs w:val="24"/>
        </w:rPr>
      </w:r>
    </w:p>
    <w:p>
      <w:pPr>
        <w:pStyle w:val="Normal"/>
        <w:spacing w:before="0" w:after="0"/>
        <w:jc w:val="both"/>
        <w:rPr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  <w:color w:val="00000A"/>
          <w:sz w:val="24"/>
          <w:szCs w:val="24"/>
        </w:rPr>
        <w:t>Conceito 3 da abertura do curso, que foi em 2012, até 2018, ano em que passou para o conceito 4.</w:t>
      </w:r>
    </w:p>
    <w:p>
      <w:pPr>
        <w:pStyle w:val="Normal"/>
        <w:spacing w:before="0" w:after="0"/>
        <w:jc w:val="both"/>
        <w:rPr>
          <w:rFonts w:ascii="Arial" w:hAnsi="Arial"/>
          <w:b/>
          <w:b/>
          <w:color w:val="00000A"/>
          <w:sz w:val="24"/>
          <w:szCs w:val="24"/>
        </w:rPr>
      </w:pPr>
      <w:r>
        <w:rPr>
          <w:rFonts w:ascii="Arial" w:hAnsi="Arial"/>
          <w:b/>
          <w:color w:val="00000A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Arial" w:hAnsi="Arial"/>
          <w:b/>
          <w:b/>
          <w:color w:val="00000A"/>
          <w:sz w:val="24"/>
          <w:szCs w:val="24"/>
        </w:rPr>
      </w:pPr>
      <w:r>
        <w:rPr>
          <w:rFonts w:ascii="Arial" w:hAnsi="Arial"/>
          <w:b/>
          <w:color w:val="00000A"/>
          <w:sz w:val="24"/>
          <w:szCs w:val="24"/>
        </w:rPr>
      </w:r>
    </w:p>
    <w:p>
      <w:pPr>
        <w:pStyle w:val="Normal"/>
        <w:spacing w:before="0" w:after="0"/>
        <w:jc w:val="both"/>
        <w:rPr/>
      </w:pPr>
      <w:r>
        <w:rPr/>
        <w:drawing>
          <wp:inline distT="0" distB="0" distL="0" distR="0">
            <wp:extent cx="4772025" cy="3215005"/>
            <wp:effectExtent l="0" t="0" r="0" b="0"/>
            <wp:docPr id="17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>
      <w:pPr>
        <w:pStyle w:val="Normal"/>
        <w:spacing w:before="0" w:after="0"/>
        <w:jc w:val="both"/>
        <w:rPr>
          <w:rFonts w:ascii="Arial" w:hAnsi="Arial"/>
          <w:b/>
          <w:b/>
          <w:color w:val="00000A"/>
          <w:sz w:val="24"/>
          <w:szCs w:val="24"/>
        </w:rPr>
      </w:pPr>
      <w:r>
        <w:rPr>
          <w:rFonts w:ascii="Arial" w:hAnsi="Arial"/>
          <w:b/>
          <w:color w:val="00000A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Arial" w:hAnsi="Arial"/>
          <w:b/>
          <w:b/>
          <w:color w:val="00000A"/>
          <w:sz w:val="24"/>
          <w:szCs w:val="24"/>
        </w:rPr>
      </w:pPr>
      <w:r>
        <w:rPr>
          <w:rFonts w:ascii="Arial" w:hAnsi="Arial"/>
          <w:b/>
          <w:color w:val="00000A"/>
          <w:sz w:val="24"/>
          <w:szCs w:val="24"/>
        </w:rPr>
      </w:r>
    </w:p>
    <w:p>
      <w:pPr>
        <w:pStyle w:val="Normal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Mestrado em Gerontologia</w:t>
      </w:r>
    </w:p>
    <w:p>
      <w:pPr>
        <w:pStyle w:val="Normal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Conceito 3 desde o início do Curso, que foi em 2014.</w:t>
      </w:r>
    </w:p>
    <w:p>
      <w:pPr>
        <w:pStyle w:val="Normal"/>
        <w:spacing w:before="0" w:after="0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color w:val="00000A"/>
          <w:sz w:val="24"/>
          <w:szCs w:val="24"/>
        </w:rPr>
        <w:t>Tivemos apenas uma avaliação, que manteve o conceito 3.</w:t>
      </w:r>
    </w:p>
    <w:p>
      <w:pPr>
        <w:pStyle w:val="Normal"/>
        <w:spacing w:before="0" w:after="0"/>
        <w:jc w:val="both"/>
        <w:rPr>
          <w:rFonts w:ascii="Arial" w:hAnsi="Arial"/>
          <w:b/>
          <w:b/>
          <w:color w:val="00000A"/>
          <w:sz w:val="24"/>
          <w:szCs w:val="24"/>
        </w:rPr>
      </w:pPr>
      <w:r>
        <w:rPr>
          <w:rFonts w:ascii="Arial" w:hAnsi="Arial"/>
          <w:b/>
          <w:color w:val="00000A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Arial" w:hAnsi="Arial"/>
          <w:b/>
          <w:b/>
          <w:color w:val="00000A"/>
          <w:sz w:val="24"/>
          <w:szCs w:val="24"/>
        </w:rPr>
      </w:pPr>
      <w:r>
        <w:rPr>
          <w:rFonts w:ascii="Arial" w:hAnsi="Arial"/>
          <w:b/>
          <w:color w:val="00000A"/>
          <w:sz w:val="24"/>
          <w:szCs w:val="24"/>
        </w:rPr>
      </w:r>
    </w:p>
    <w:p>
      <w:pPr>
        <w:pStyle w:val="Normal"/>
        <w:spacing w:before="0" w:after="0"/>
        <w:jc w:val="both"/>
        <w:rPr/>
      </w:pPr>
      <w:r>
        <w:rPr/>
        <w:drawing>
          <wp:inline distT="0" distB="0" distL="0" distR="0">
            <wp:extent cx="5400040" cy="3248025"/>
            <wp:effectExtent l="0" t="0" r="0" b="0"/>
            <wp:docPr id="18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>
      <w:pPr>
        <w:pStyle w:val="Normal"/>
        <w:spacing w:before="0" w:after="0"/>
        <w:jc w:val="both"/>
        <w:rPr>
          <w:rFonts w:ascii="Arial" w:hAnsi="Arial"/>
          <w:b/>
          <w:b/>
          <w:color w:val="00000A"/>
          <w:sz w:val="24"/>
          <w:szCs w:val="24"/>
        </w:rPr>
      </w:pPr>
      <w:r>
        <w:rPr>
          <w:rFonts w:ascii="Arial" w:hAnsi="Arial"/>
          <w:b/>
          <w:color w:val="00000A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Arial" w:hAnsi="Arial"/>
          <w:b/>
          <w:b/>
          <w:color w:val="00000A"/>
          <w:sz w:val="24"/>
          <w:szCs w:val="24"/>
        </w:rPr>
      </w:pPr>
      <w:r>
        <w:rPr>
          <w:rFonts w:ascii="Arial" w:hAnsi="Arial"/>
          <w:b/>
          <w:color w:val="00000A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Arial" w:hAnsi="Arial"/>
          <w:b/>
          <w:b/>
          <w:color w:val="00000A"/>
          <w:sz w:val="24"/>
          <w:szCs w:val="24"/>
        </w:rPr>
      </w:pPr>
      <w:r>
        <w:rPr>
          <w:rFonts w:ascii="Arial" w:hAnsi="Arial"/>
          <w:b/>
          <w:color w:val="00000A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Arial" w:hAnsi="Arial"/>
          <w:b/>
          <w:b/>
          <w:color w:val="00000A"/>
          <w:sz w:val="24"/>
          <w:szCs w:val="24"/>
        </w:rPr>
      </w:pPr>
      <w:r>
        <w:rPr>
          <w:rFonts w:ascii="Arial" w:hAnsi="Arial"/>
          <w:b/>
          <w:color w:val="00000A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Arial" w:hAnsi="Arial"/>
          <w:b/>
          <w:b/>
          <w:color w:val="00000A"/>
          <w:sz w:val="24"/>
          <w:szCs w:val="24"/>
        </w:rPr>
      </w:pPr>
      <w:r>
        <w:rPr>
          <w:rFonts w:ascii="Arial" w:hAnsi="Arial"/>
          <w:b/>
          <w:color w:val="00000A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Arial" w:hAnsi="Arial"/>
          <w:b/>
          <w:b/>
          <w:color w:val="00000A"/>
          <w:sz w:val="24"/>
          <w:szCs w:val="24"/>
        </w:rPr>
      </w:pPr>
      <w:r>
        <w:rPr>
          <w:rFonts w:ascii="Arial" w:hAnsi="Arial"/>
          <w:b/>
          <w:color w:val="00000A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Arial" w:hAnsi="Arial"/>
          <w:b/>
          <w:b/>
          <w:color w:val="00000A"/>
          <w:sz w:val="24"/>
          <w:szCs w:val="24"/>
        </w:rPr>
      </w:pPr>
      <w:r>
        <w:rPr>
          <w:rFonts w:ascii="Arial" w:hAnsi="Arial"/>
          <w:b/>
          <w:color w:val="00000A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Arial" w:hAnsi="Arial"/>
          <w:b/>
          <w:b/>
          <w:color w:val="00000A"/>
          <w:sz w:val="24"/>
          <w:szCs w:val="24"/>
        </w:rPr>
      </w:pPr>
      <w:r>
        <w:rPr>
          <w:rFonts w:ascii="Arial" w:hAnsi="Arial"/>
          <w:b/>
          <w:color w:val="00000A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Arial" w:hAnsi="Arial"/>
          <w:b/>
          <w:b/>
          <w:color w:val="00000A"/>
          <w:sz w:val="24"/>
          <w:szCs w:val="24"/>
        </w:rPr>
      </w:pPr>
      <w:r>
        <w:rPr>
          <w:rFonts w:ascii="Arial" w:hAnsi="Arial"/>
          <w:b/>
          <w:color w:val="00000A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Arial" w:hAnsi="Arial"/>
          <w:b/>
          <w:b/>
          <w:color w:val="00000A"/>
          <w:sz w:val="24"/>
          <w:szCs w:val="24"/>
        </w:rPr>
      </w:pPr>
      <w:r>
        <w:rPr>
          <w:rFonts w:ascii="Arial" w:hAnsi="Arial"/>
          <w:b/>
          <w:color w:val="00000A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Arial" w:hAnsi="Arial"/>
          <w:b/>
          <w:b/>
          <w:color w:val="00000A"/>
          <w:sz w:val="24"/>
          <w:szCs w:val="24"/>
        </w:rPr>
      </w:pPr>
      <w:r>
        <w:rPr>
          <w:rFonts w:ascii="Arial" w:hAnsi="Arial"/>
          <w:b/>
          <w:color w:val="00000A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Arial" w:hAnsi="Arial"/>
          <w:b/>
          <w:b/>
          <w:color w:val="00000A"/>
          <w:sz w:val="24"/>
          <w:szCs w:val="24"/>
        </w:rPr>
      </w:pPr>
      <w:r>
        <w:rPr>
          <w:rFonts w:ascii="Arial" w:hAnsi="Arial"/>
          <w:b/>
          <w:color w:val="00000A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Arial" w:hAnsi="Arial"/>
          <w:b/>
          <w:b/>
          <w:color w:val="00000A"/>
          <w:sz w:val="24"/>
          <w:szCs w:val="24"/>
        </w:rPr>
      </w:pPr>
      <w:r>
        <w:rPr>
          <w:rFonts w:ascii="Arial" w:hAnsi="Arial"/>
          <w:b/>
          <w:color w:val="00000A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Arial" w:hAnsi="Arial"/>
          <w:b/>
          <w:b/>
          <w:color w:val="00000A"/>
          <w:sz w:val="24"/>
          <w:szCs w:val="24"/>
        </w:rPr>
      </w:pPr>
      <w:r>
        <w:rPr>
          <w:rFonts w:ascii="Arial" w:hAnsi="Arial"/>
          <w:b/>
          <w:color w:val="00000A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Arial" w:hAnsi="Arial"/>
          <w:b/>
          <w:b/>
          <w:color w:val="00000A"/>
          <w:sz w:val="24"/>
          <w:szCs w:val="24"/>
        </w:rPr>
      </w:pPr>
      <w:r>
        <w:rPr>
          <w:rFonts w:ascii="Arial" w:hAnsi="Arial"/>
          <w:b/>
          <w:color w:val="00000A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Arial" w:hAnsi="Arial"/>
          <w:b/>
          <w:b/>
          <w:color w:val="00000A"/>
          <w:sz w:val="24"/>
          <w:szCs w:val="24"/>
        </w:rPr>
      </w:pPr>
      <w:r>
        <w:rPr>
          <w:rFonts w:ascii="Arial" w:hAnsi="Arial"/>
          <w:b/>
          <w:color w:val="00000A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Arial" w:hAnsi="Arial"/>
          <w:b/>
          <w:b/>
          <w:color w:val="00000A"/>
          <w:sz w:val="24"/>
          <w:szCs w:val="24"/>
        </w:rPr>
      </w:pPr>
      <w:r>
        <w:rPr>
          <w:rFonts w:ascii="Arial" w:hAnsi="Arial"/>
          <w:b/>
          <w:color w:val="00000A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Arial" w:hAnsi="Arial"/>
          <w:b/>
          <w:b/>
          <w:color w:val="00000A"/>
          <w:sz w:val="24"/>
          <w:szCs w:val="24"/>
        </w:rPr>
      </w:pPr>
      <w:r>
        <w:rPr>
          <w:rFonts w:ascii="Arial" w:hAnsi="Arial"/>
          <w:b/>
          <w:color w:val="00000A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Arial" w:hAnsi="Arial"/>
          <w:b/>
          <w:b/>
          <w:color w:val="00000A"/>
          <w:sz w:val="24"/>
          <w:szCs w:val="24"/>
        </w:rPr>
      </w:pPr>
      <w:r>
        <w:rPr>
          <w:rFonts w:ascii="Arial" w:hAnsi="Arial"/>
          <w:b/>
          <w:color w:val="00000A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Arial" w:hAnsi="Arial"/>
          <w:b/>
          <w:b/>
          <w:color w:val="00000A"/>
          <w:sz w:val="24"/>
          <w:szCs w:val="24"/>
        </w:rPr>
      </w:pPr>
      <w:r>
        <w:rPr>
          <w:rFonts w:ascii="Arial" w:hAnsi="Arial"/>
          <w:b/>
          <w:color w:val="00000A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Arial" w:hAnsi="Arial"/>
          <w:b/>
          <w:b/>
          <w:color w:val="00000A"/>
          <w:sz w:val="24"/>
          <w:szCs w:val="24"/>
        </w:rPr>
      </w:pPr>
      <w:r>
        <w:rPr>
          <w:rFonts w:ascii="Arial" w:hAnsi="Arial"/>
          <w:b/>
          <w:color w:val="00000A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Arial" w:hAnsi="Arial"/>
          <w:b/>
          <w:b/>
          <w:color w:val="00000A"/>
          <w:sz w:val="24"/>
          <w:szCs w:val="24"/>
        </w:rPr>
      </w:pPr>
      <w:r>
        <w:rPr>
          <w:rFonts w:ascii="Arial" w:hAnsi="Arial"/>
          <w:b/>
          <w:color w:val="00000A"/>
          <w:sz w:val="24"/>
          <w:szCs w:val="24"/>
        </w:rPr>
      </w:r>
    </w:p>
    <w:p>
      <w:pPr>
        <w:pStyle w:val="Normal"/>
        <w:spacing w:before="0" w:after="0"/>
        <w:jc w:val="both"/>
        <w:rPr/>
      </w:pPr>
      <w:r>
        <w:rPr>
          <w:rFonts w:ascii="Arial" w:hAnsi="Arial"/>
          <w:b/>
          <w:color w:val="00000A"/>
          <w:sz w:val="24"/>
          <w:szCs w:val="24"/>
        </w:rPr>
        <w:t>2 PROCESSO DE ELABORAÇÃO DO PDU</w:t>
      </w:r>
    </w:p>
    <w:p>
      <w:pPr>
        <w:pStyle w:val="Normal"/>
        <w:spacing w:before="0" w:after="0"/>
        <w:jc w:val="both"/>
        <w:rPr>
          <w:rFonts w:ascii="Arial" w:hAnsi="Arial"/>
          <w:highlight w:val="yellow"/>
        </w:rPr>
      </w:pPr>
      <w:r>
        <w:rPr>
          <w:rFonts w:ascii="Arial" w:hAnsi="Arial"/>
          <w:highlight w:val="yellow"/>
        </w:rPr>
      </w:r>
    </w:p>
    <w:p>
      <w:pPr>
        <w:pStyle w:val="Normal"/>
        <w:spacing w:before="0" w:after="0"/>
        <w:jc w:val="both"/>
        <w:rPr>
          <w:rFonts w:ascii="Arial" w:hAnsi="Arial"/>
          <w:highlight w:val="yellow"/>
        </w:rPr>
      </w:pPr>
      <w:r>
        <w:rPr>
          <w:rFonts w:ascii="Arial" w:hAnsi="Arial"/>
          <w:highlight w:val="yellow"/>
        </w:rPr>
      </w:r>
    </w:p>
    <w:p>
      <w:pPr>
        <w:pStyle w:val="Normal"/>
        <w:spacing w:lineRule="auto" w:line="360" w:before="0" w:after="0"/>
        <w:jc w:val="both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>O processo de elaboração do PDU desenvolveu-se em cinco etapas principais de planejamento, inspirado na metodologia  utilizada pelo Centro de Ciências Sociais e Humanas (CCSH) da UFSM. A primeira fase envolveu a apresentação da missão, visão e valores da UFSM e a análise e relação e alteração destes elementos para o PDU/CEFD. A segunda fase constitui de retomada da etapa de diagnóstico, realizada por meio de reuniões sistematizadas pela Comissão, utilizando-se da matriz FOFA (Forças, Oportunidades, Fraquezas e Ameaças). A partir dos dados produzidos no diagnóstico, na terceira etapa do PDU realizou-se a construção dos objetivos de planejamento.</w:t>
      </w:r>
    </w:p>
    <w:p>
      <w:pPr>
        <w:pStyle w:val="Normal"/>
        <w:spacing w:lineRule="auto" w:line="360" w:before="0" w:after="0"/>
        <w:jc w:val="both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 xml:space="preserve">Como a terceira etapa não limitou o número de propostas, também foi realizada uma quarta etapa para priorização dos objetivos. A quinta etapa do PDU foi caracterizada pela construção dos planos de ação e sugestão de possíveis indicadores de desempenho.  </w:t>
      </w:r>
    </w:p>
    <w:p>
      <w:pPr>
        <w:pStyle w:val="Normal"/>
        <w:spacing w:before="0" w:after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before="0" w:after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before="0" w:after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>2.1 PRIMEIRA FASE – Definição da Missão, Visão e Valores e dos Desafios Institucionais</w:t>
      </w:r>
    </w:p>
    <w:p>
      <w:pPr>
        <w:pStyle w:val="Normal"/>
        <w:spacing w:before="0" w:after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360" w:before="0" w:after="0"/>
        <w:jc w:val="both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>O texto anterior foi retomado pela comissão que analisou, refletiu e propôs algumas alterações no conteúdo base conforme segue abaixo.</w:t>
      </w:r>
    </w:p>
    <w:p>
      <w:pPr>
        <w:pStyle w:val="Normal"/>
        <w:spacing w:before="0" w:after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widowControl w:val="false"/>
        <w:suppressAutoHyphens w:val="true"/>
        <w:spacing w:lineRule="exact" w:line="252"/>
        <w:rPr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  <w:shd w:fill="FFFFFF" w:val="clear"/>
          <w:lang w:eastAsia="zh-CN" w:bidi="hi-IN"/>
        </w:rPr>
        <w:t>Missão</w:t>
      </w:r>
    </w:p>
    <w:p>
      <w:pPr>
        <w:pStyle w:val="Normal"/>
        <w:widowControl w:val="false"/>
        <w:suppressAutoHyphens w:val="true"/>
        <w:spacing w:lineRule="auto" w:line="360"/>
        <w:jc w:val="both"/>
        <w:rPr>
          <w:sz w:val="24"/>
          <w:szCs w:val="24"/>
        </w:rPr>
      </w:pPr>
      <w:r>
        <w:rPr>
          <w:rFonts w:eastAsia="Arial" w:cs="Arial" w:ascii="Arial" w:hAnsi="Arial"/>
          <w:sz w:val="24"/>
          <w:szCs w:val="24"/>
          <w:shd w:fill="FFFFFF" w:val="clear"/>
          <w:lang w:eastAsia="zh-CN" w:bidi="hi-IN"/>
        </w:rPr>
        <w:t>Construir e difundir conhecimento por meio do Ensino, Pesquisa e Extensão nas áreas de Educação Física, Gerontologia e Dança para atuar na formação de sujeitos críticos e criativos capazes de inovar e contribuir com o desenvolvimento da sociedade de modo sustentável.</w:t>
      </w:r>
    </w:p>
    <w:p>
      <w:pPr>
        <w:pStyle w:val="Normal"/>
        <w:widowControl w:val="false"/>
        <w:suppressAutoHyphens w:val="true"/>
        <w:spacing w:lineRule="exact" w:line="252"/>
        <w:jc w:val="both"/>
        <w:rPr>
          <w:rFonts w:ascii="Arial" w:hAnsi="Arial" w:eastAsia="SimSun" w:cs="Arial"/>
          <w:sz w:val="24"/>
          <w:szCs w:val="24"/>
          <w:lang w:eastAsia="zh-CN" w:bidi="hi-IN"/>
        </w:rPr>
      </w:pPr>
      <w:r>
        <w:rPr>
          <w:rFonts w:eastAsia="SimSun" w:cs="Arial" w:ascii="Arial" w:hAnsi="Arial"/>
          <w:sz w:val="24"/>
          <w:szCs w:val="24"/>
          <w:lang w:eastAsia="zh-CN" w:bidi="hi-IN"/>
        </w:rPr>
      </w:r>
    </w:p>
    <w:p>
      <w:pPr>
        <w:pStyle w:val="Normal"/>
        <w:widowControl w:val="false"/>
        <w:suppressAutoHyphens w:val="true"/>
        <w:spacing w:lineRule="exact" w:line="252"/>
        <w:jc w:val="both"/>
        <w:rPr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  <w:shd w:fill="FFFFFF" w:val="clear"/>
          <w:lang w:eastAsia="zh-CN" w:bidi="hi-IN"/>
        </w:rPr>
        <w:t>Visão</w:t>
      </w:r>
    </w:p>
    <w:p>
      <w:pPr>
        <w:pStyle w:val="Normal"/>
        <w:widowControl w:val="false"/>
        <w:suppressAutoHyphens w:val="true"/>
        <w:spacing w:lineRule="auto" w:line="360" w:before="0" w:after="0"/>
        <w:jc w:val="both"/>
        <w:rPr>
          <w:sz w:val="24"/>
          <w:szCs w:val="24"/>
        </w:rPr>
      </w:pPr>
      <w:r>
        <w:rPr>
          <w:rFonts w:eastAsia="Arial" w:cs="Arial" w:ascii="Arial" w:hAnsi="Arial"/>
          <w:sz w:val="24"/>
          <w:szCs w:val="24"/>
          <w:shd w:fill="FFFFFF" w:val="clear"/>
          <w:lang w:eastAsia="zh-CN" w:bidi="hi-IN"/>
        </w:rPr>
        <w:t>Ser reconhecido como uma unidade de excelência na construção e difusão do conhecimento nas áreas da Educação Física, Gerontologia e Dança comprometendo-se com o desenvolvimento da sociedade, de modo inovador e sustentável.</w:t>
      </w:r>
    </w:p>
    <w:p>
      <w:pPr>
        <w:pStyle w:val="Normal"/>
        <w:widowControl w:val="false"/>
        <w:suppressAutoHyphens w:val="true"/>
        <w:spacing w:lineRule="exact" w:line="252"/>
        <w:rPr/>
      </w:pPr>
      <w:r>
        <w:rPr>
          <w:rFonts w:eastAsia="Arial" w:cs="Arial" w:ascii="Arial" w:hAnsi="Arial"/>
          <w:b/>
          <w:sz w:val="24"/>
          <w:szCs w:val="24"/>
          <w:shd w:fill="FFFFFF" w:val="clear"/>
          <w:lang w:eastAsia="zh-CN" w:bidi="hi-IN"/>
        </w:rPr>
        <w:t>Valores</w:t>
      </w:r>
    </w:p>
    <w:p>
      <w:pPr>
        <w:pStyle w:val="Normal"/>
        <w:widowControl w:val="false"/>
        <w:tabs>
          <w:tab w:val="left" w:pos="720" w:leader="none"/>
        </w:tabs>
        <w:suppressAutoHyphens w:val="true"/>
        <w:spacing w:lineRule="exact" w:line="240"/>
        <w:rPr>
          <w:sz w:val="24"/>
          <w:szCs w:val="24"/>
        </w:rPr>
      </w:pPr>
      <w:r>
        <w:rPr>
          <w:rFonts w:eastAsia="Arial" w:cs="Arial" w:ascii="Arial" w:hAnsi="Arial"/>
          <w:sz w:val="24"/>
          <w:szCs w:val="24"/>
          <w:shd w:fill="FFFFFF" w:val="clear"/>
          <w:lang w:eastAsia="zh-CN" w:bidi="hi-IN"/>
        </w:rPr>
        <w:t>- Justiça</w:t>
      </w:r>
    </w:p>
    <w:p>
      <w:pPr>
        <w:pStyle w:val="Normal"/>
        <w:widowControl w:val="false"/>
        <w:tabs>
          <w:tab w:val="left" w:pos="720" w:leader="none"/>
        </w:tabs>
        <w:suppressAutoHyphens w:val="true"/>
        <w:spacing w:lineRule="exact" w:line="240"/>
        <w:rPr>
          <w:sz w:val="24"/>
          <w:szCs w:val="24"/>
        </w:rPr>
      </w:pPr>
      <w:r>
        <w:rPr>
          <w:rFonts w:eastAsia="Arial" w:cs="Arial" w:ascii="Arial" w:hAnsi="Arial"/>
          <w:sz w:val="24"/>
          <w:szCs w:val="24"/>
          <w:shd w:fill="FFFFFF" w:val="clear"/>
          <w:lang w:eastAsia="zh-CN" w:bidi="hi-IN"/>
        </w:rPr>
        <w:t>- Compromisso Social</w:t>
      </w:r>
    </w:p>
    <w:p>
      <w:pPr>
        <w:pStyle w:val="Normal"/>
        <w:widowControl w:val="false"/>
        <w:tabs>
          <w:tab w:val="left" w:pos="720" w:leader="none"/>
        </w:tabs>
        <w:suppressAutoHyphens w:val="true"/>
        <w:spacing w:lineRule="exact" w:line="240"/>
        <w:rPr>
          <w:sz w:val="24"/>
          <w:szCs w:val="24"/>
        </w:rPr>
      </w:pPr>
      <w:r>
        <w:rPr>
          <w:rFonts w:eastAsia="Arial" w:cs="Arial" w:ascii="Arial" w:hAnsi="Arial"/>
          <w:sz w:val="24"/>
          <w:szCs w:val="24"/>
          <w:shd w:fill="FFFFFF" w:val="clear"/>
          <w:lang w:eastAsia="zh-CN" w:bidi="hi-IN"/>
        </w:rPr>
        <w:t>- Atuação democrática</w:t>
      </w:r>
    </w:p>
    <w:p>
      <w:pPr>
        <w:pStyle w:val="Normal"/>
        <w:widowControl w:val="false"/>
        <w:tabs>
          <w:tab w:val="left" w:pos="720" w:leader="none"/>
        </w:tabs>
        <w:suppressAutoHyphens w:val="true"/>
        <w:spacing w:lineRule="exact" w:line="240"/>
        <w:rPr>
          <w:sz w:val="24"/>
          <w:szCs w:val="24"/>
        </w:rPr>
      </w:pPr>
      <w:r>
        <w:rPr>
          <w:rFonts w:eastAsia="Arial" w:cs="Arial" w:ascii="Arial" w:hAnsi="Arial"/>
          <w:sz w:val="24"/>
          <w:szCs w:val="24"/>
          <w:shd w:fill="FFFFFF" w:val="clear"/>
          <w:lang w:eastAsia="zh-CN" w:bidi="hi-IN"/>
        </w:rPr>
        <w:t>- Respeito às Identidades e à Diversidade</w:t>
      </w:r>
    </w:p>
    <w:p>
      <w:pPr>
        <w:pStyle w:val="Normal"/>
        <w:widowControl w:val="false"/>
        <w:tabs>
          <w:tab w:val="left" w:pos="720" w:leader="none"/>
        </w:tabs>
        <w:suppressAutoHyphens w:val="true"/>
        <w:spacing w:lineRule="exact" w:line="240"/>
        <w:rPr>
          <w:sz w:val="24"/>
          <w:szCs w:val="24"/>
        </w:rPr>
      </w:pPr>
      <w:r>
        <w:rPr>
          <w:rFonts w:eastAsia="Arial" w:cs="Arial" w:ascii="Arial" w:hAnsi="Arial"/>
          <w:sz w:val="24"/>
          <w:szCs w:val="24"/>
          <w:shd w:fill="FFFFFF" w:val="clear"/>
          <w:lang w:eastAsia="zh-CN" w:bidi="hi-IN"/>
        </w:rPr>
        <w:t>- Comprometimento ético</w:t>
      </w:r>
    </w:p>
    <w:p>
      <w:pPr>
        <w:pStyle w:val="Normal"/>
        <w:widowControl w:val="false"/>
        <w:tabs>
          <w:tab w:val="left" w:pos="720" w:leader="none"/>
        </w:tabs>
        <w:suppressAutoHyphens w:val="true"/>
        <w:spacing w:lineRule="exact" w:line="240"/>
        <w:rPr>
          <w:sz w:val="24"/>
          <w:szCs w:val="24"/>
        </w:rPr>
      </w:pPr>
      <w:r>
        <w:rPr>
          <w:rFonts w:eastAsia="SimSun" w:cs="Arial" w:ascii="Arial" w:hAnsi="Arial"/>
          <w:sz w:val="24"/>
          <w:szCs w:val="24"/>
          <w:lang w:eastAsia="zh-CN" w:bidi="hi-IN"/>
        </w:rPr>
        <w:t>- Inovação</w:t>
      </w:r>
    </w:p>
    <w:p>
      <w:pPr>
        <w:pStyle w:val="Normal"/>
        <w:widowControl w:val="false"/>
        <w:tabs>
          <w:tab w:val="left" w:pos="720" w:leader="none"/>
        </w:tabs>
        <w:suppressAutoHyphens w:val="true"/>
        <w:spacing w:lineRule="exact" w:line="240"/>
        <w:rPr>
          <w:sz w:val="24"/>
          <w:szCs w:val="24"/>
        </w:rPr>
      </w:pPr>
      <w:r>
        <w:rPr>
          <w:rFonts w:eastAsia="SimSun" w:cs="Arial" w:ascii="Arial" w:hAnsi="Arial"/>
          <w:sz w:val="24"/>
          <w:szCs w:val="24"/>
          <w:lang w:eastAsia="zh-CN" w:bidi="hi-IN"/>
        </w:rPr>
        <w:t>- Responsabilidade</w:t>
      </w:r>
    </w:p>
    <w:p>
      <w:pPr>
        <w:pStyle w:val="Normal"/>
        <w:widowControl w:val="false"/>
        <w:tabs>
          <w:tab w:val="left" w:pos="720" w:leader="none"/>
        </w:tabs>
        <w:suppressAutoHyphens w:val="true"/>
        <w:spacing w:lineRule="exact" w:line="240"/>
        <w:rPr>
          <w:sz w:val="24"/>
          <w:szCs w:val="24"/>
        </w:rPr>
      </w:pPr>
      <w:r>
        <w:rPr>
          <w:rFonts w:eastAsia="SimSun" w:cs="Arial" w:ascii="Arial" w:hAnsi="Arial"/>
          <w:sz w:val="24"/>
          <w:szCs w:val="24"/>
          <w:lang w:eastAsia="zh-CN" w:bidi="hi-IN"/>
        </w:rPr>
        <w:t>- Excelência Acadêmica</w:t>
      </w:r>
    </w:p>
    <w:p>
      <w:pPr>
        <w:pStyle w:val="Normal"/>
        <w:widowControl w:val="false"/>
        <w:tabs>
          <w:tab w:val="left" w:pos="720" w:leader="none"/>
        </w:tabs>
        <w:suppressAutoHyphens w:val="true"/>
        <w:spacing w:lineRule="exact" w:line="240"/>
        <w:rPr>
          <w:sz w:val="24"/>
          <w:szCs w:val="24"/>
        </w:rPr>
      </w:pPr>
      <w:r>
        <w:rPr>
          <w:rFonts w:eastAsia="SimSun" w:cs="Arial" w:ascii="Arial" w:hAnsi="Arial"/>
          <w:sz w:val="24"/>
          <w:szCs w:val="24"/>
          <w:lang w:eastAsia="zh-CN" w:bidi="hi-IN"/>
        </w:rPr>
        <w:t>- Liberdade</w:t>
      </w:r>
    </w:p>
    <w:p>
      <w:pPr>
        <w:pStyle w:val="Normal"/>
        <w:widowControl w:val="false"/>
        <w:tabs>
          <w:tab w:val="left" w:pos="720" w:leader="none"/>
        </w:tabs>
        <w:suppressAutoHyphens w:val="true"/>
        <w:spacing w:lineRule="exact" w:line="240"/>
        <w:jc w:val="both"/>
        <w:rPr>
          <w:sz w:val="24"/>
          <w:szCs w:val="24"/>
        </w:rPr>
      </w:pPr>
      <w:r>
        <w:rPr>
          <w:rFonts w:eastAsia="SimSun" w:cs="Arial" w:ascii="Arial" w:hAnsi="Arial"/>
          <w:sz w:val="24"/>
          <w:szCs w:val="24"/>
          <w:lang w:eastAsia="zh-CN" w:bidi="hi-IN"/>
        </w:rPr>
        <w:t>- Sustentabilidade</w:t>
      </w:r>
    </w:p>
    <w:p>
      <w:pPr>
        <w:pStyle w:val="Normal"/>
        <w:widowControl w:val="false"/>
        <w:tabs>
          <w:tab w:val="left" w:pos="720" w:leader="none"/>
        </w:tabs>
        <w:suppressAutoHyphens w:val="true"/>
        <w:spacing w:lineRule="exact" w:line="240"/>
        <w:jc w:val="both"/>
        <w:rPr>
          <w:rFonts w:ascii="Arial" w:hAnsi="Arial" w:eastAsia="SimSun" w:cs="Arial"/>
          <w:lang w:eastAsia="zh-CN" w:bidi="hi-IN"/>
        </w:rPr>
      </w:pPr>
      <w:r>
        <w:rPr>
          <w:rFonts w:eastAsia="SimSun" w:cs="Arial" w:ascii="Arial" w:hAnsi="Arial"/>
          <w:lang w:eastAsia="zh-CN" w:bidi="hi-IN"/>
        </w:rPr>
      </w:r>
    </w:p>
    <w:p>
      <w:pPr>
        <w:pStyle w:val="Normal"/>
        <w:widowControl w:val="false"/>
        <w:tabs>
          <w:tab w:val="left" w:pos="720" w:leader="none"/>
        </w:tabs>
        <w:suppressAutoHyphens w:val="true"/>
        <w:spacing w:lineRule="exact" w:line="240"/>
        <w:jc w:val="both"/>
        <w:rPr>
          <w:sz w:val="24"/>
          <w:szCs w:val="24"/>
        </w:rPr>
      </w:pPr>
      <w:r>
        <w:rPr>
          <w:rFonts w:eastAsia="SimSun" w:cs="Arial" w:ascii="Arial" w:hAnsi="Arial"/>
          <w:sz w:val="24"/>
          <w:szCs w:val="24"/>
          <w:lang w:eastAsia="zh-CN" w:bidi="hi-IN"/>
        </w:rPr>
        <w:t>2.1.1 Desafios Institucionais</w:t>
      </w:r>
    </w:p>
    <w:p>
      <w:pPr>
        <w:pStyle w:val="Normal"/>
        <w:widowControl w:val="false"/>
        <w:tabs>
          <w:tab w:val="left" w:pos="720" w:leader="none"/>
        </w:tabs>
        <w:suppressAutoHyphens w:val="true"/>
        <w:spacing w:lineRule="exact" w:line="240"/>
        <w:jc w:val="both"/>
        <w:rPr>
          <w:rFonts w:ascii="Arial" w:hAnsi="Arial" w:eastAsia="SimSun" w:cs="Arial"/>
          <w:lang w:eastAsia="zh-CN" w:bidi="hi-IN"/>
        </w:rPr>
      </w:pPr>
      <w:r>
        <w:rPr>
          <w:rFonts w:eastAsia="SimSun" w:cs="Arial" w:ascii="Arial" w:hAnsi="Arial"/>
          <w:lang w:eastAsia="zh-CN" w:bidi="hi-IN"/>
        </w:rPr>
      </w:r>
    </w:p>
    <w:p>
      <w:pPr>
        <w:pStyle w:val="Normal"/>
        <w:widowControl w:val="false"/>
        <w:tabs>
          <w:tab w:val="left" w:pos="720" w:leader="none"/>
        </w:tabs>
        <w:suppressAutoHyphens w:val="true"/>
        <w:spacing w:lineRule="auto" w:line="360"/>
        <w:jc w:val="both"/>
        <w:rPr>
          <w:sz w:val="24"/>
          <w:szCs w:val="24"/>
        </w:rPr>
      </w:pPr>
      <w:r>
        <w:rPr>
          <w:rFonts w:eastAsia="SimSun" w:cs="Arial" w:ascii="Arial" w:hAnsi="Arial"/>
          <w:sz w:val="24"/>
          <w:szCs w:val="24"/>
          <w:lang w:eastAsia="zh-CN" w:bidi="hi-IN"/>
        </w:rPr>
        <w:tab/>
        <w:t>Conforme destacamos anteriormente o processo de elagoração do PDU do CEFD seguiu o modelo do CCSH que alinha seu PDU aos PDI da UFSM de acordo com seus sete desafios institucionais: 1) Internacionalização; 2) Educação inovadora e transformadora com excelência acadêmica; 3) Inclusão social; 4) Inovação, geração de conhecimento e transferência de tecnologia; 5) Modernização e desenvolvimento organizacional; 6) Desenvolvimento local, regional e nacional e 7) Gestão ambiental.</w:t>
      </w:r>
    </w:p>
    <w:p>
      <w:pPr>
        <w:pStyle w:val="Normal"/>
        <w:widowControl w:val="false"/>
        <w:tabs>
          <w:tab w:val="left" w:pos="720" w:leader="none"/>
        </w:tabs>
        <w:suppressAutoHyphens w:val="true"/>
        <w:spacing w:lineRule="exact" w:line="240"/>
        <w:jc w:val="both"/>
        <w:rPr/>
      </w:pPr>
      <w:r>
        <w:rPr/>
      </w:r>
    </w:p>
    <w:p>
      <w:pPr>
        <w:pStyle w:val="Normal"/>
        <w:widowControl w:val="false"/>
        <w:tabs>
          <w:tab w:val="left" w:pos="720" w:leader="none"/>
        </w:tabs>
        <w:suppressAutoHyphens w:val="true"/>
        <w:spacing w:lineRule="exact" w:line="240"/>
        <w:jc w:val="both"/>
        <w:rPr/>
      </w:pPr>
      <w:r>
        <w:rPr/>
      </w:r>
    </w:p>
    <w:p>
      <w:pPr>
        <w:pStyle w:val="Normal"/>
        <w:widowControl w:val="false"/>
        <w:tabs>
          <w:tab w:val="left" w:pos="720" w:leader="none"/>
        </w:tabs>
        <w:suppressAutoHyphens w:val="true"/>
        <w:spacing w:lineRule="exact" w:line="2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2.2 SEGUNDA FASE – Análise SWOT</w:t>
      </w:r>
    </w:p>
    <w:p>
      <w:pPr>
        <w:pStyle w:val="Normal"/>
        <w:widowControl w:val="false"/>
        <w:tabs>
          <w:tab w:val="left" w:pos="720" w:leader="none"/>
        </w:tabs>
        <w:suppressAutoHyphens w:val="true"/>
        <w:spacing w:lineRule="auto" w:line="36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widowControl w:val="false"/>
        <w:tabs>
          <w:tab w:val="left" w:pos="720" w:leader="none"/>
        </w:tabs>
        <w:suppressAutoHyphens w:val="true"/>
        <w:spacing w:lineRule="auto" w:line="360"/>
        <w:jc w:val="both"/>
        <w:rPr/>
      </w:pPr>
      <w:r>
        <w:rPr>
          <w:rFonts w:ascii="Arial" w:hAnsi="Arial"/>
          <w:sz w:val="24"/>
          <w:szCs w:val="24"/>
        </w:rPr>
        <w:tab/>
        <w:t xml:space="preserve">A comissão de elaboração do PDU sistematizou reuniões com seus respectivos representantes: docentes, técnicos e alunos onde retomou e aprofundou o texto anterior acerca das forças, fraquezas, oportunidades e ameaças (Matriz FOFA). Além da história da área da Educação Física no CEFD o grupo discutiu e refletiu sobre a nova configuração da unidade a partir de seus desafios e perspectivas de crescimento, consolidação e expansão, sobretudo nas áreas de Gerontologia e Dança. As informações que se repetiam em mais de um desafio foram agrupadas para melhor apresentação das informações. A seguir, o quadro 1 apresenta Forças, o quadro 2 apresenta as Oportunidades, o quadro 3 apresenta as Fraquezas e o quadro 4 apresenta as ameaças. </w:t>
      </w:r>
    </w:p>
    <w:p>
      <w:pPr>
        <w:pStyle w:val="Normal"/>
        <w:rPr/>
      </w:pPr>
      <w:r>
        <w:rPr>
          <w:rFonts w:cs="Arial" w:ascii="Arial" w:hAnsi="Arial"/>
          <w:b/>
          <w:sz w:val="24"/>
          <w:szCs w:val="24"/>
        </w:rPr>
        <w:t>Quadro 1</w:t>
      </w:r>
      <w:r>
        <w:rPr>
          <w:rFonts w:cs="Arial" w:ascii="Arial" w:hAnsi="Arial"/>
          <w:sz w:val="24"/>
          <w:szCs w:val="24"/>
        </w:rPr>
        <w:t xml:space="preserve">: </w:t>
      </w:r>
      <w:r>
        <w:rPr>
          <w:rFonts w:cs="Arial" w:ascii="Arial" w:hAnsi="Arial"/>
          <w:sz w:val="24"/>
          <w:szCs w:val="24"/>
          <w:u w:val="single"/>
        </w:rPr>
        <w:t>Forças</w:t>
      </w:r>
      <w:r>
        <w:rPr>
          <w:rFonts w:cs="Arial" w:ascii="Arial" w:hAnsi="Arial"/>
          <w:sz w:val="24"/>
          <w:szCs w:val="24"/>
        </w:rPr>
        <w:t xml:space="preserve"> do CEFD vinculadas aos sete Desafios Institucionais.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tbl>
      <w:tblPr>
        <w:tblW w:w="8644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203"/>
        <w:gridCol w:w="2440"/>
      </w:tblGrid>
      <w:tr>
        <w:trPr/>
        <w:tc>
          <w:tcPr>
            <w:tcW w:w="62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FORÇAS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44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</w:rPr>
              <w:t>DESAFIOS</w:t>
            </w:r>
          </w:p>
        </w:tc>
      </w:tr>
      <w:tr>
        <w:trPr/>
        <w:tc>
          <w:tcPr>
            <w:tcW w:w="6203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left" w:pos="720" w:leader="none"/>
              </w:tabs>
              <w:suppressAutoHyphens w:val="true"/>
              <w:spacing w:lineRule="exact" w:line="240" w:before="0" w:after="0"/>
              <w:rPr/>
            </w:pPr>
            <w:r>
              <w:rPr>
                <w:rFonts w:eastAsia="Arial" w:cs="Arial" w:ascii="Arial" w:hAnsi="Arial"/>
                <w:color w:val="00000A"/>
                <w:sz w:val="24"/>
                <w:szCs w:val="24"/>
                <w:shd w:fill="FFFFFF" w:val="clear"/>
                <w:lang w:eastAsia="zh-CN" w:bidi="hi-IN"/>
              </w:rPr>
              <w:t>Estrutura física</w:t>
            </w:r>
            <w:r>
              <w:rPr>
                <w:rFonts w:eastAsia="Arial" w:cs="Arial" w:ascii="Arial" w:hAnsi="Arial"/>
                <w:color w:val="00000A"/>
                <w:sz w:val="24"/>
                <w:szCs w:val="24"/>
                <w:highlight w:val="white"/>
                <w:lang w:eastAsia="zh-CN" w:bidi="hi-IN"/>
              </w:rPr>
              <w:t xml:space="preserve"> para a Educação Físcia.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</w:r>
          </w:p>
        </w:tc>
        <w:tc>
          <w:tcPr>
            <w:tcW w:w="244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color w:val="00000A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  <w:t>D2, D6</w:t>
            </w:r>
          </w:p>
        </w:tc>
      </w:tr>
      <w:tr>
        <w:trPr/>
        <w:tc>
          <w:tcPr>
            <w:tcW w:w="6203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left" w:pos="720" w:leader="none"/>
              </w:tabs>
              <w:suppressAutoHyphens w:val="true"/>
              <w:spacing w:lineRule="exact" w:line="240" w:before="0" w:after="0"/>
              <w:rPr>
                <w:color w:val="00000A"/>
              </w:rPr>
            </w:pPr>
            <w:r>
              <w:rPr>
                <w:rFonts w:eastAsia="Arial" w:cs="Arial" w:ascii="Arial" w:hAnsi="Arial"/>
                <w:color w:val="00000A"/>
                <w:sz w:val="24"/>
                <w:szCs w:val="24"/>
                <w:shd w:fill="FFFFFF" w:val="clear"/>
                <w:lang w:eastAsia="zh-CN" w:bidi="hi-IN"/>
              </w:rPr>
              <w:t>Área para ampliação das estruturas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</w:r>
          </w:p>
        </w:tc>
        <w:tc>
          <w:tcPr>
            <w:tcW w:w="244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color w:val="00000A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  <w:t>D2, D5</w:t>
            </w:r>
          </w:p>
        </w:tc>
      </w:tr>
      <w:tr>
        <w:trPr/>
        <w:tc>
          <w:tcPr>
            <w:tcW w:w="6203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left" w:pos="720" w:leader="none"/>
              </w:tabs>
              <w:suppressAutoHyphens w:val="true"/>
              <w:spacing w:lineRule="exact" w:line="240" w:before="0" w:after="0"/>
              <w:rPr/>
            </w:pPr>
            <w:r>
              <w:rPr>
                <w:rFonts w:eastAsia="Arial" w:cs="Arial" w:ascii="Arial" w:hAnsi="Arial"/>
                <w:color w:val="00000A"/>
                <w:sz w:val="24"/>
                <w:szCs w:val="24"/>
                <w:shd w:fill="FFFFFF" w:val="clear"/>
                <w:lang w:eastAsia="zh-CN" w:bidi="hi-IN"/>
              </w:rPr>
              <w:t>Qualificação dos recursos humanos (Docentes, TAES)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</w:r>
          </w:p>
        </w:tc>
        <w:tc>
          <w:tcPr>
            <w:tcW w:w="244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color w:val="00000A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  <w:t>D1, D2, D4, D5</w:t>
            </w:r>
          </w:p>
        </w:tc>
      </w:tr>
      <w:tr>
        <w:trPr/>
        <w:tc>
          <w:tcPr>
            <w:tcW w:w="6203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left" w:pos="720" w:leader="none"/>
              </w:tabs>
              <w:suppressAutoHyphens w:val="true"/>
              <w:spacing w:lineRule="exact" w:line="240" w:before="0" w:after="0"/>
              <w:rPr>
                <w:color w:val="00000A"/>
              </w:rPr>
            </w:pPr>
            <w:r>
              <w:rPr>
                <w:rFonts w:eastAsia="Arial" w:cs="Arial" w:ascii="Arial" w:hAnsi="Arial"/>
                <w:color w:val="00000A"/>
                <w:sz w:val="24"/>
                <w:szCs w:val="24"/>
                <w:shd w:fill="FFFFFF" w:val="clear"/>
                <w:lang w:eastAsia="zh-CN" w:bidi="hi-IN"/>
              </w:rPr>
              <w:t>Retomada da Pós-graduação com os cursos de Mestrados em Educação Física e Gerontologia</w:t>
            </w:r>
          </w:p>
          <w:p>
            <w:pPr>
              <w:pStyle w:val="Normal"/>
              <w:widowControl w:val="false"/>
              <w:tabs>
                <w:tab w:val="left" w:pos="720" w:leader="none"/>
              </w:tabs>
              <w:suppressAutoHyphens w:val="true"/>
              <w:spacing w:lineRule="exact" w:line="240" w:before="0" w:after="0"/>
              <w:ind w:left="720" w:hanging="0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</w:r>
          </w:p>
        </w:tc>
        <w:tc>
          <w:tcPr>
            <w:tcW w:w="244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color w:val="00000A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  <w:t xml:space="preserve">D2, D3, D4, </w:t>
            </w:r>
          </w:p>
        </w:tc>
      </w:tr>
      <w:tr>
        <w:trPr/>
        <w:tc>
          <w:tcPr>
            <w:tcW w:w="6203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left" w:pos="720" w:leader="none"/>
              </w:tabs>
              <w:suppressAutoHyphens w:val="true"/>
              <w:spacing w:lineRule="exact" w:line="240" w:before="0" w:after="0"/>
              <w:rPr/>
            </w:pPr>
            <w:r>
              <w:rPr>
                <w:rFonts w:eastAsia="Arial" w:cs="Arial" w:ascii="Arial" w:hAnsi="Arial"/>
                <w:color w:val="00000A"/>
                <w:sz w:val="24"/>
                <w:szCs w:val="24"/>
                <w:shd w:fill="FFFFFF" w:val="clear"/>
                <w:lang w:eastAsia="zh-CN" w:bidi="hi-IN"/>
              </w:rPr>
              <w:t>Reconhecimento do CEFD e da UFSM enquanto instituição no Brasil</w:t>
            </w:r>
            <w:r>
              <w:rPr>
                <w:rFonts w:eastAsia="Arial" w:cs="Arial" w:ascii="Arial" w:hAnsi="Arial"/>
                <w:color w:val="00000A"/>
                <w:sz w:val="24"/>
                <w:szCs w:val="24"/>
                <w:highlight w:val="white"/>
                <w:lang w:eastAsia="zh-CN" w:bidi="hi-IN"/>
              </w:rPr>
              <w:t>.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</w:r>
          </w:p>
        </w:tc>
        <w:tc>
          <w:tcPr>
            <w:tcW w:w="244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color w:val="00000A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  <w:t>D2, D6</w:t>
            </w:r>
          </w:p>
        </w:tc>
      </w:tr>
      <w:tr>
        <w:trPr/>
        <w:tc>
          <w:tcPr>
            <w:tcW w:w="6203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left" w:pos="720" w:leader="none"/>
              </w:tabs>
              <w:suppressAutoHyphens w:val="true"/>
              <w:spacing w:lineRule="exact" w:line="240" w:before="0" w:after="0"/>
              <w:rPr/>
            </w:pPr>
            <w:r>
              <w:rPr>
                <w:rFonts w:eastAsia="Arial" w:cs="Arial" w:ascii="Arial" w:hAnsi="Arial"/>
                <w:color w:val="00000A"/>
                <w:sz w:val="24"/>
                <w:szCs w:val="24"/>
                <w:shd w:fill="FFFFFF" w:val="clear"/>
                <w:lang w:eastAsia="zh-CN" w:bidi="hi-IN"/>
              </w:rPr>
              <w:t>Procura pelos cursos oferecidos pelo CEFD</w:t>
            </w:r>
            <w:r>
              <w:rPr>
                <w:rFonts w:eastAsia="Arial" w:cs="Arial" w:ascii="Arial" w:hAnsi="Arial"/>
                <w:color w:val="00000A"/>
                <w:sz w:val="24"/>
                <w:szCs w:val="24"/>
                <w:highlight w:val="white"/>
                <w:lang w:eastAsia="zh-CN" w:bidi="hi-IN"/>
              </w:rPr>
              <w:t>.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</w:r>
          </w:p>
        </w:tc>
        <w:tc>
          <w:tcPr>
            <w:tcW w:w="244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color w:val="00000A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  <w:t>D2, D6</w:t>
            </w:r>
          </w:p>
        </w:tc>
      </w:tr>
      <w:tr>
        <w:trPr/>
        <w:tc>
          <w:tcPr>
            <w:tcW w:w="6203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left" w:pos="720" w:leader="none"/>
              </w:tabs>
              <w:suppressAutoHyphens w:val="true"/>
              <w:spacing w:lineRule="exact" w:line="240" w:before="0" w:after="0"/>
              <w:rPr/>
            </w:pPr>
            <w:r>
              <w:rPr>
                <w:rFonts w:eastAsia="Arial" w:cs="Arial" w:ascii="Arial" w:hAnsi="Arial"/>
                <w:color w:val="00000A"/>
                <w:sz w:val="24"/>
                <w:szCs w:val="24"/>
                <w:shd w:fill="FFFFFF" w:val="clear"/>
                <w:lang w:eastAsia="zh-CN" w:bidi="hi-IN"/>
              </w:rPr>
              <w:t>Participação de alunos e professores de outros cursos em atividades do CEFD</w:t>
            </w:r>
            <w:r>
              <w:rPr>
                <w:rFonts w:eastAsia="Arial" w:cs="Arial" w:ascii="Arial" w:hAnsi="Arial"/>
                <w:color w:val="00000A"/>
                <w:sz w:val="24"/>
                <w:szCs w:val="24"/>
                <w:highlight w:val="white"/>
                <w:lang w:eastAsia="zh-CN" w:bidi="hi-IN"/>
              </w:rPr>
              <w:t>.</w:t>
            </w:r>
          </w:p>
          <w:p>
            <w:pPr>
              <w:pStyle w:val="Normal"/>
              <w:widowControl w:val="false"/>
              <w:tabs>
                <w:tab w:val="left" w:pos="720" w:leader="none"/>
              </w:tabs>
              <w:suppressAutoHyphens w:val="true"/>
              <w:spacing w:lineRule="exact" w:line="240" w:before="0" w:after="0"/>
              <w:ind w:left="720" w:hanging="0"/>
              <w:rPr>
                <w:rFonts w:ascii="Arial" w:hAnsi="Arial" w:eastAsia="Arial" w:cs="Arial"/>
                <w:color w:val="00000A"/>
                <w:sz w:val="24"/>
                <w:szCs w:val="24"/>
                <w:shd w:fill="FFFFFF" w:val="clear"/>
                <w:lang w:eastAsia="zh-CN" w:bidi="hi-IN"/>
              </w:rPr>
            </w:pPr>
            <w:r>
              <w:rPr>
                <w:rFonts w:eastAsia="Arial" w:cs="Arial" w:ascii="Arial" w:hAnsi="Arial"/>
                <w:color w:val="00000A"/>
                <w:sz w:val="24"/>
                <w:szCs w:val="24"/>
                <w:shd w:fill="FFFFFF" w:val="clear"/>
                <w:lang w:eastAsia="zh-CN" w:bidi="hi-IN"/>
              </w:rPr>
            </w:r>
          </w:p>
        </w:tc>
        <w:tc>
          <w:tcPr>
            <w:tcW w:w="244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color w:val="00000A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  <w:t>D2, D4</w:t>
            </w:r>
          </w:p>
        </w:tc>
      </w:tr>
      <w:tr>
        <w:trPr/>
        <w:tc>
          <w:tcPr>
            <w:tcW w:w="6203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left" w:pos="720" w:leader="none"/>
              </w:tabs>
              <w:suppressAutoHyphens w:val="true"/>
              <w:spacing w:lineRule="exact" w:line="240" w:before="0" w:after="0"/>
              <w:rPr/>
            </w:pPr>
            <w:r>
              <w:rPr>
                <w:rFonts w:eastAsia="Arial" w:cs="Arial" w:ascii="Arial" w:hAnsi="Arial"/>
                <w:color w:val="00000A"/>
                <w:sz w:val="24"/>
                <w:szCs w:val="24"/>
                <w:shd w:fill="FFFFFF" w:val="clear"/>
                <w:lang w:eastAsia="zh-CN" w:bidi="hi-IN"/>
              </w:rPr>
              <w:t>Bolsas FIPE, FIEX, Monitoria, Bolsa PRAE, PIBID, PET, Capes, FAPERGS, CNPq, PROLICEN, RESIDENCIA, FIEN</w:t>
            </w:r>
            <w:r>
              <w:rPr>
                <w:rFonts w:eastAsia="Arial" w:cs="Arial" w:ascii="Arial" w:hAnsi="Arial"/>
                <w:color w:val="00000A"/>
                <w:sz w:val="24"/>
                <w:szCs w:val="24"/>
                <w:highlight w:val="white"/>
                <w:lang w:eastAsia="zh-CN" w:bidi="hi-IN"/>
              </w:rPr>
              <w:t>.</w:t>
            </w:r>
          </w:p>
          <w:p>
            <w:pPr>
              <w:pStyle w:val="Normal"/>
              <w:widowControl w:val="false"/>
              <w:tabs>
                <w:tab w:val="left" w:pos="720" w:leader="none"/>
              </w:tabs>
              <w:suppressAutoHyphens w:val="true"/>
              <w:spacing w:lineRule="exact" w:line="240" w:before="0" w:after="0"/>
              <w:ind w:left="720" w:hanging="0"/>
              <w:rPr>
                <w:rFonts w:ascii="Arial" w:hAnsi="Arial" w:eastAsia="Arial" w:cs="Arial"/>
                <w:color w:val="00000A"/>
                <w:sz w:val="24"/>
                <w:szCs w:val="24"/>
                <w:shd w:fill="FFFFFF" w:val="clear"/>
                <w:lang w:eastAsia="zh-CN" w:bidi="hi-IN"/>
              </w:rPr>
            </w:pPr>
            <w:r>
              <w:rPr>
                <w:rFonts w:eastAsia="Arial" w:cs="Arial" w:ascii="Arial" w:hAnsi="Arial"/>
                <w:color w:val="00000A"/>
                <w:sz w:val="24"/>
                <w:szCs w:val="24"/>
                <w:shd w:fill="FFFFFF" w:val="clear"/>
                <w:lang w:eastAsia="zh-CN" w:bidi="hi-IN"/>
              </w:rPr>
            </w:r>
          </w:p>
        </w:tc>
        <w:tc>
          <w:tcPr>
            <w:tcW w:w="244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color w:val="00000A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  <w:t>D2, D3, D4, D6</w:t>
            </w:r>
          </w:p>
        </w:tc>
      </w:tr>
      <w:tr>
        <w:trPr/>
        <w:tc>
          <w:tcPr>
            <w:tcW w:w="6203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left" w:pos="720" w:leader="none"/>
              </w:tabs>
              <w:suppressAutoHyphens w:val="true"/>
              <w:spacing w:lineRule="exact" w:line="240" w:before="0" w:after="0"/>
              <w:rPr/>
            </w:pPr>
            <w:r>
              <w:rPr>
                <w:rFonts w:eastAsia="Arial" w:cs="Arial" w:ascii="Arial" w:hAnsi="Arial"/>
                <w:color w:val="00000A"/>
                <w:sz w:val="24"/>
                <w:szCs w:val="24"/>
                <w:shd w:fill="FFFFFF" w:val="clear"/>
                <w:lang w:eastAsia="zh-CN" w:bidi="hi-IN"/>
              </w:rPr>
              <w:t>Divulgação das ações do CEFD</w:t>
            </w:r>
            <w:r>
              <w:rPr>
                <w:rFonts w:eastAsia="Arial" w:cs="Arial" w:ascii="Arial" w:hAnsi="Arial"/>
                <w:color w:val="00000A"/>
                <w:sz w:val="24"/>
                <w:szCs w:val="24"/>
                <w:highlight w:val="white"/>
                <w:lang w:eastAsia="zh-CN" w:bidi="hi-IN"/>
              </w:rPr>
              <w:t>.</w:t>
            </w:r>
          </w:p>
          <w:p>
            <w:pPr>
              <w:pStyle w:val="Normal"/>
              <w:widowControl w:val="false"/>
              <w:tabs>
                <w:tab w:val="left" w:pos="720" w:leader="none"/>
              </w:tabs>
              <w:suppressAutoHyphens w:val="true"/>
              <w:spacing w:lineRule="exact" w:line="240" w:before="0" w:after="0"/>
              <w:ind w:left="720" w:hanging="0"/>
              <w:rPr>
                <w:rFonts w:ascii="Arial" w:hAnsi="Arial" w:eastAsia="Arial" w:cs="Arial"/>
                <w:color w:val="00000A"/>
                <w:sz w:val="24"/>
                <w:szCs w:val="24"/>
                <w:shd w:fill="FFFFFF" w:val="clear"/>
                <w:lang w:eastAsia="zh-CN" w:bidi="hi-IN"/>
              </w:rPr>
            </w:pPr>
            <w:r>
              <w:rPr>
                <w:rFonts w:eastAsia="Arial" w:cs="Arial" w:ascii="Arial" w:hAnsi="Arial"/>
                <w:color w:val="00000A"/>
                <w:sz w:val="24"/>
                <w:szCs w:val="24"/>
                <w:shd w:fill="FFFFFF" w:val="clear"/>
                <w:lang w:eastAsia="zh-CN" w:bidi="hi-IN"/>
              </w:rPr>
            </w:r>
          </w:p>
        </w:tc>
        <w:tc>
          <w:tcPr>
            <w:tcW w:w="244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color w:val="00000A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  <w:t>D5, D3, D6</w:t>
            </w:r>
          </w:p>
        </w:tc>
      </w:tr>
      <w:tr>
        <w:trPr/>
        <w:tc>
          <w:tcPr>
            <w:tcW w:w="6203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left" w:pos="720" w:leader="none"/>
              </w:tabs>
              <w:suppressAutoHyphens w:val="true"/>
              <w:spacing w:lineRule="exact" w:line="240" w:before="0" w:after="0"/>
              <w:rPr>
                <w:color w:val="00000A"/>
              </w:rPr>
            </w:pPr>
            <w:r>
              <w:rPr>
                <w:rFonts w:eastAsia="Arial" w:cs="Arial" w:ascii="Arial" w:hAnsi="Arial"/>
                <w:color w:val="00000A"/>
                <w:sz w:val="24"/>
                <w:szCs w:val="24"/>
                <w:shd w:fill="FFFFFF" w:val="clear"/>
                <w:lang w:eastAsia="zh-CN" w:bidi="hi-IN"/>
              </w:rPr>
              <w:t>Atuação do Curso de Dança Licenciatura (área das Artes)</w:t>
            </w:r>
          </w:p>
          <w:p>
            <w:pPr>
              <w:pStyle w:val="Normal"/>
              <w:widowControl w:val="false"/>
              <w:tabs>
                <w:tab w:val="left" w:pos="720" w:leader="none"/>
              </w:tabs>
              <w:suppressAutoHyphens w:val="true"/>
              <w:spacing w:lineRule="exact" w:line="240" w:before="0" w:after="0"/>
              <w:ind w:left="720" w:hanging="0"/>
              <w:rPr>
                <w:rFonts w:ascii="Arial" w:hAnsi="Arial" w:eastAsia="Arial" w:cs="Arial"/>
                <w:color w:val="00000A"/>
                <w:sz w:val="24"/>
                <w:szCs w:val="24"/>
                <w:shd w:fill="FFFFFF" w:val="clear"/>
                <w:lang w:eastAsia="zh-CN" w:bidi="hi-IN"/>
              </w:rPr>
            </w:pPr>
            <w:r>
              <w:rPr>
                <w:rFonts w:eastAsia="Arial" w:cs="Arial" w:ascii="Arial" w:hAnsi="Arial"/>
                <w:color w:val="00000A"/>
                <w:sz w:val="24"/>
                <w:szCs w:val="24"/>
                <w:shd w:fill="FFFFFF" w:val="clear"/>
                <w:lang w:eastAsia="zh-CN" w:bidi="hi-IN"/>
              </w:rPr>
            </w:r>
          </w:p>
        </w:tc>
        <w:tc>
          <w:tcPr>
            <w:tcW w:w="244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color w:val="00000A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  <w:t>D2, D3, D4, D5, D6</w:t>
            </w:r>
          </w:p>
        </w:tc>
      </w:tr>
      <w:tr>
        <w:trPr/>
        <w:tc>
          <w:tcPr>
            <w:tcW w:w="6203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left" w:pos="720" w:leader="none"/>
              </w:tabs>
              <w:suppressAutoHyphens w:val="true"/>
              <w:spacing w:lineRule="exact" w:line="240" w:before="0" w:after="0"/>
              <w:rPr/>
            </w:pPr>
            <w:r>
              <w:rPr>
                <w:rFonts w:eastAsia="Arial" w:cs="Arial" w:ascii="Arial" w:hAnsi="Arial"/>
                <w:color w:val="00000A"/>
                <w:sz w:val="24"/>
                <w:szCs w:val="24"/>
                <w:shd w:fill="FFFFFF" w:val="clear"/>
                <w:lang w:eastAsia="zh-CN" w:bidi="hi-IN"/>
              </w:rPr>
              <w:t>Formação de Professores/as</w:t>
            </w:r>
            <w:r>
              <w:rPr>
                <w:rFonts w:eastAsia="Arial" w:cs="Arial" w:ascii="Arial" w:hAnsi="Arial"/>
                <w:color w:val="00000A"/>
                <w:sz w:val="24"/>
                <w:szCs w:val="24"/>
                <w:highlight w:val="white"/>
                <w:lang w:eastAsia="zh-CN" w:bidi="hi-IN"/>
              </w:rPr>
              <w:t>.</w:t>
            </w:r>
          </w:p>
          <w:p>
            <w:pPr>
              <w:pStyle w:val="Normal"/>
              <w:widowControl w:val="false"/>
              <w:tabs>
                <w:tab w:val="left" w:pos="720" w:leader="none"/>
              </w:tabs>
              <w:suppressAutoHyphens w:val="true"/>
              <w:spacing w:lineRule="exact" w:line="240" w:before="0" w:after="0"/>
              <w:ind w:left="720" w:hanging="0"/>
              <w:rPr>
                <w:rFonts w:ascii="Arial" w:hAnsi="Arial" w:eastAsia="Arial" w:cs="Arial"/>
                <w:color w:val="00000A"/>
                <w:sz w:val="24"/>
                <w:szCs w:val="24"/>
                <w:shd w:fill="FFFFFF" w:val="clear"/>
                <w:lang w:eastAsia="zh-CN" w:bidi="hi-IN"/>
              </w:rPr>
            </w:pPr>
            <w:r>
              <w:rPr>
                <w:rFonts w:eastAsia="Arial" w:cs="Arial" w:ascii="Arial" w:hAnsi="Arial"/>
                <w:color w:val="00000A"/>
                <w:sz w:val="24"/>
                <w:szCs w:val="24"/>
                <w:shd w:fill="FFFFFF" w:val="clear"/>
                <w:lang w:eastAsia="zh-CN" w:bidi="hi-IN"/>
              </w:rPr>
            </w:r>
          </w:p>
        </w:tc>
        <w:tc>
          <w:tcPr>
            <w:tcW w:w="244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color w:val="00000A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  <w:t>D1, D2, D3, D6</w:t>
            </w:r>
          </w:p>
        </w:tc>
      </w:tr>
      <w:tr>
        <w:trPr/>
        <w:tc>
          <w:tcPr>
            <w:tcW w:w="6203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left" w:pos="720" w:leader="none"/>
              </w:tabs>
              <w:suppressAutoHyphens w:val="true"/>
              <w:spacing w:lineRule="exact" w:line="240" w:before="0" w:after="0"/>
              <w:rPr/>
            </w:pPr>
            <w:r>
              <w:rPr>
                <w:rFonts w:eastAsia="Arial" w:cs="Arial" w:ascii="Arial" w:hAnsi="Arial"/>
                <w:color w:val="00000A"/>
                <w:sz w:val="24"/>
                <w:szCs w:val="24"/>
                <w:shd w:fill="FFFFFF" w:val="clear"/>
                <w:lang w:eastAsia="zh-CN" w:bidi="hi-IN"/>
              </w:rPr>
              <w:t xml:space="preserve">Formação de alunos/as para o Mundo do trabalho </w:t>
            </w:r>
            <w:r>
              <w:rPr>
                <w:rFonts w:eastAsia="Arial" w:cs="Arial" w:ascii="Arial" w:hAnsi="Arial"/>
                <w:color w:val="00000A"/>
                <w:sz w:val="24"/>
                <w:szCs w:val="24"/>
                <w:highlight w:val="white"/>
                <w:lang w:eastAsia="zh-CN" w:bidi="hi-IN"/>
              </w:rPr>
              <w:t>.</w:t>
            </w:r>
          </w:p>
          <w:p>
            <w:pPr>
              <w:pStyle w:val="Normal"/>
              <w:widowControl w:val="false"/>
              <w:tabs>
                <w:tab w:val="left" w:pos="720" w:leader="none"/>
              </w:tabs>
              <w:suppressAutoHyphens w:val="true"/>
              <w:spacing w:lineRule="exact" w:line="240" w:before="0" w:after="0"/>
              <w:ind w:left="720" w:hanging="0"/>
              <w:rPr>
                <w:rFonts w:ascii="Arial" w:hAnsi="Arial" w:eastAsia="Arial" w:cs="Arial"/>
                <w:color w:val="00000A"/>
                <w:sz w:val="24"/>
                <w:szCs w:val="24"/>
                <w:shd w:fill="FFFFFF" w:val="clear"/>
                <w:lang w:eastAsia="zh-CN" w:bidi="hi-IN"/>
              </w:rPr>
            </w:pPr>
            <w:r>
              <w:rPr>
                <w:rFonts w:eastAsia="Arial" w:cs="Arial" w:ascii="Arial" w:hAnsi="Arial"/>
                <w:color w:val="00000A"/>
                <w:sz w:val="24"/>
                <w:szCs w:val="24"/>
                <w:shd w:fill="FFFFFF" w:val="clear"/>
                <w:lang w:eastAsia="zh-CN" w:bidi="hi-IN"/>
              </w:rPr>
            </w:r>
          </w:p>
        </w:tc>
        <w:tc>
          <w:tcPr>
            <w:tcW w:w="244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color w:val="00000A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  <w:t>D1, D2, D4, D6</w:t>
            </w:r>
          </w:p>
        </w:tc>
      </w:tr>
      <w:tr>
        <w:trPr/>
        <w:tc>
          <w:tcPr>
            <w:tcW w:w="6203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left" w:pos="720" w:leader="none"/>
              </w:tabs>
              <w:suppressAutoHyphens w:val="true"/>
              <w:spacing w:lineRule="exact" w:line="240" w:before="0" w:after="0"/>
              <w:rPr/>
            </w:pPr>
            <w:r>
              <w:rPr>
                <w:rFonts w:eastAsia="Arial" w:cs="Arial" w:ascii="Arial" w:hAnsi="Arial"/>
                <w:color w:val="00000A"/>
                <w:sz w:val="24"/>
                <w:szCs w:val="24"/>
                <w:shd w:fill="FFFFFF" w:val="clear"/>
                <w:lang w:eastAsia="zh-CN" w:bidi="hi-IN"/>
              </w:rPr>
              <w:t>Diversidade de campo de atuação</w:t>
            </w:r>
            <w:r>
              <w:rPr>
                <w:rFonts w:eastAsia="Arial" w:cs="Arial" w:ascii="Arial" w:hAnsi="Arial"/>
                <w:color w:val="00000A"/>
                <w:sz w:val="24"/>
                <w:szCs w:val="24"/>
                <w:highlight w:val="white"/>
                <w:lang w:eastAsia="zh-CN" w:bidi="hi-IN"/>
              </w:rPr>
              <w:t>.</w:t>
            </w:r>
          </w:p>
          <w:p>
            <w:pPr>
              <w:pStyle w:val="Normal"/>
              <w:widowControl w:val="false"/>
              <w:tabs>
                <w:tab w:val="left" w:pos="720" w:leader="none"/>
              </w:tabs>
              <w:suppressAutoHyphens w:val="true"/>
              <w:spacing w:lineRule="exact" w:line="240" w:before="0" w:after="0"/>
              <w:ind w:left="720" w:hanging="0"/>
              <w:rPr>
                <w:rFonts w:ascii="Arial" w:hAnsi="Arial" w:eastAsia="Arial" w:cs="Arial"/>
                <w:color w:val="00000A"/>
                <w:sz w:val="24"/>
                <w:szCs w:val="24"/>
                <w:shd w:fill="FFFFFF" w:val="clear"/>
                <w:lang w:eastAsia="zh-CN" w:bidi="hi-IN"/>
              </w:rPr>
            </w:pPr>
            <w:r>
              <w:rPr>
                <w:rFonts w:eastAsia="Arial" w:cs="Arial" w:ascii="Arial" w:hAnsi="Arial"/>
                <w:color w:val="00000A"/>
                <w:sz w:val="24"/>
                <w:szCs w:val="24"/>
                <w:shd w:fill="FFFFFF" w:val="clear"/>
                <w:lang w:eastAsia="zh-CN" w:bidi="hi-IN"/>
              </w:rPr>
            </w:r>
          </w:p>
        </w:tc>
        <w:tc>
          <w:tcPr>
            <w:tcW w:w="244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color w:val="00000A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  <w:t>D2, D3, D4</w:t>
            </w:r>
          </w:p>
        </w:tc>
      </w:tr>
      <w:tr>
        <w:trPr/>
        <w:tc>
          <w:tcPr>
            <w:tcW w:w="6203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left" w:pos="720" w:leader="none"/>
              </w:tabs>
              <w:suppressAutoHyphens w:val="true"/>
              <w:spacing w:lineRule="exact" w:line="240" w:before="0" w:after="0"/>
              <w:ind w:left="720" w:hanging="0"/>
              <w:rPr>
                <w:rFonts w:ascii="Arial" w:hAnsi="Arial" w:eastAsia="Arial" w:cs="Arial"/>
                <w:color w:val="00000A"/>
                <w:sz w:val="24"/>
                <w:szCs w:val="24"/>
                <w:shd w:fill="FFFFFF" w:val="clear"/>
                <w:lang w:eastAsia="zh-CN" w:bidi="hi-IN"/>
              </w:rPr>
            </w:pPr>
            <w:r>
              <w:rPr>
                <w:rFonts w:eastAsia="Arial" w:cs="Arial" w:ascii="Arial" w:hAnsi="Arial"/>
                <w:color w:val="00000A"/>
                <w:sz w:val="24"/>
                <w:szCs w:val="24"/>
                <w:shd w:fill="FFFFFF" w:val="clear"/>
                <w:lang w:eastAsia="zh-CN" w:bidi="hi-IN"/>
              </w:rPr>
            </w:r>
          </w:p>
        </w:tc>
        <w:tc>
          <w:tcPr>
            <w:tcW w:w="244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</w:r>
          </w:p>
        </w:tc>
      </w:tr>
      <w:tr>
        <w:trPr/>
        <w:tc>
          <w:tcPr>
            <w:tcW w:w="6203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left" w:pos="720" w:leader="none"/>
              </w:tabs>
              <w:suppressAutoHyphens w:val="true"/>
              <w:spacing w:lineRule="exact" w:line="240" w:before="0" w:after="0"/>
              <w:ind w:left="720" w:hanging="0"/>
              <w:rPr>
                <w:rFonts w:ascii="Arial" w:hAnsi="Arial" w:eastAsia="Arial" w:cs="Arial"/>
                <w:color w:val="00000A"/>
                <w:sz w:val="24"/>
                <w:szCs w:val="24"/>
                <w:shd w:fill="FFFFFF" w:val="clear"/>
                <w:lang w:eastAsia="zh-CN" w:bidi="hi-IN"/>
              </w:rPr>
            </w:pPr>
            <w:r>
              <w:rPr>
                <w:rFonts w:eastAsia="Arial" w:cs="Arial" w:ascii="Arial" w:hAnsi="Arial"/>
                <w:color w:val="00000A"/>
                <w:sz w:val="24"/>
                <w:szCs w:val="24"/>
                <w:shd w:fill="FFFFFF" w:val="clear"/>
                <w:lang w:eastAsia="zh-CN" w:bidi="hi-IN"/>
              </w:rPr>
            </w:r>
          </w:p>
        </w:tc>
        <w:tc>
          <w:tcPr>
            <w:tcW w:w="244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</w:r>
          </w:p>
        </w:tc>
      </w:tr>
    </w:tbl>
    <w:p>
      <w:pPr>
        <w:pStyle w:val="Normal"/>
        <w:widowControl w:val="false"/>
        <w:tabs>
          <w:tab w:val="left" w:pos="720" w:leader="none"/>
        </w:tabs>
        <w:suppressAutoHyphens w:val="true"/>
        <w:spacing w:lineRule="exact" w:line="24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widowControl w:val="false"/>
        <w:tabs>
          <w:tab w:val="left" w:pos="720" w:leader="none"/>
        </w:tabs>
        <w:suppressAutoHyphens w:val="true"/>
        <w:spacing w:lineRule="exact" w:line="24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widowControl w:val="false"/>
        <w:tabs>
          <w:tab w:val="left" w:pos="720" w:leader="none"/>
        </w:tabs>
        <w:suppressAutoHyphens w:val="true"/>
        <w:spacing w:lineRule="exact" w:line="24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widowControl w:val="false"/>
        <w:tabs>
          <w:tab w:val="left" w:pos="720" w:leader="none"/>
        </w:tabs>
        <w:suppressAutoHyphens w:val="true"/>
        <w:spacing w:lineRule="exact" w:line="24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  <w:sz w:val="24"/>
          <w:szCs w:val="24"/>
        </w:rPr>
        <w:t>Quadro 2</w:t>
      </w:r>
      <w:r>
        <w:rPr>
          <w:rFonts w:cs="Arial" w:ascii="Arial" w:hAnsi="Arial"/>
          <w:sz w:val="24"/>
          <w:szCs w:val="24"/>
        </w:rPr>
        <w:t xml:space="preserve"> – </w:t>
      </w:r>
      <w:r>
        <w:rPr>
          <w:rFonts w:cs="Arial" w:ascii="Arial" w:hAnsi="Arial"/>
          <w:sz w:val="24"/>
          <w:szCs w:val="24"/>
          <w:u w:val="single"/>
        </w:rPr>
        <w:t>Oportunidades</w:t>
      </w:r>
      <w:r>
        <w:rPr>
          <w:rFonts w:cs="Arial" w:ascii="Arial" w:hAnsi="Arial"/>
          <w:sz w:val="24"/>
          <w:szCs w:val="24"/>
        </w:rPr>
        <w:t xml:space="preserve"> do CEFD vinculadas aos sete Desafios Institucionais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tbl>
      <w:tblPr>
        <w:tblW w:w="8644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36"/>
        <w:gridCol w:w="3007"/>
      </w:tblGrid>
      <w:tr>
        <w:trPr/>
        <w:tc>
          <w:tcPr>
            <w:tcW w:w="563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Oportunidades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300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</w:rPr>
              <w:t>Desafios</w:t>
            </w:r>
          </w:p>
        </w:tc>
      </w:tr>
      <w:tr>
        <w:trPr/>
        <w:tc>
          <w:tcPr>
            <w:tcW w:w="5636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left" w:pos="720" w:leader="none"/>
              </w:tabs>
              <w:suppressAutoHyphens w:val="true"/>
              <w:spacing w:lineRule="exact" w:line="240" w:before="0" w:after="0"/>
              <w:rPr/>
            </w:pPr>
            <w:r>
              <w:rPr>
                <w:rFonts w:eastAsia="Arial" w:cs="Arial" w:ascii="Arial" w:hAnsi="Arial"/>
                <w:color w:val="00000A"/>
                <w:sz w:val="24"/>
                <w:szCs w:val="24"/>
                <w:shd w:fill="FFFFFF" w:val="clear"/>
                <w:lang w:eastAsia="zh-CN" w:bidi="hi-IN"/>
              </w:rPr>
              <w:t>Participação em eventos e  Competições nacionais e internacionais</w:t>
            </w:r>
            <w:r>
              <w:rPr>
                <w:rFonts w:eastAsia="Arial" w:cs="Arial" w:ascii="Arial" w:hAnsi="Arial"/>
                <w:color w:val="00000A"/>
                <w:sz w:val="24"/>
                <w:szCs w:val="24"/>
                <w:highlight w:val="white"/>
                <w:lang w:eastAsia="zh-CN" w:bidi="hi-IN"/>
              </w:rPr>
              <w:t>.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</w:r>
          </w:p>
        </w:tc>
        <w:tc>
          <w:tcPr>
            <w:tcW w:w="300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color w:val="00000A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  <w:t>D1, D2, D3, D4</w:t>
            </w:r>
          </w:p>
        </w:tc>
      </w:tr>
      <w:tr>
        <w:trPr/>
        <w:tc>
          <w:tcPr>
            <w:tcW w:w="5636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left" w:pos="720" w:leader="none"/>
              </w:tabs>
              <w:suppressAutoHyphens w:val="true"/>
              <w:spacing w:lineRule="exact" w:line="240" w:before="0" w:after="0"/>
              <w:rPr>
                <w:color w:val="00000A"/>
              </w:rPr>
            </w:pPr>
            <w:r>
              <w:rPr>
                <w:rFonts w:eastAsia="Arial" w:cs="Arial" w:ascii="Arial" w:hAnsi="Arial"/>
                <w:color w:val="00000A"/>
                <w:sz w:val="24"/>
                <w:szCs w:val="24"/>
                <w:shd w:fill="FFFFFF" w:val="clear"/>
                <w:lang w:eastAsia="zh-CN" w:bidi="hi-IN"/>
              </w:rPr>
              <w:t xml:space="preserve">Financiamentos  de projetos via  Ministérios (Saúde e Educação, Capes, CNPq, etc.) e </w:t>
            </w:r>
            <w:r>
              <w:rPr>
                <w:rFonts w:eastAsia="Arial" w:cs="Arial" w:ascii="Arial" w:hAnsi="Arial"/>
                <w:i/>
                <w:color w:val="00000A"/>
                <w:sz w:val="24"/>
                <w:szCs w:val="24"/>
                <w:shd w:fill="FFFFFF" w:val="clear"/>
                <w:lang w:eastAsia="zh-CN" w:bidi="hi-IN"/>
              </w:rPr>
              <w:t>Grants</w:t>
            </w:r>
            <w:r>
              <w:rPr>
                <w:rFonts w:eastAsia="Arial" w:cs="Arial" w:ascii="Arial" w:hAnsi="Arial"/>
                <w:color w:val="00000A"/>
                <w:sz w:val="24"/>
                <w:szCs w:val="24"/>
                <w:shd w:fill="FFFFFF" w:val="clear"/>
                <w:lang w:eastAsia="zh-CN" w:bidi="hi-IN"/>
              </w:rPr>
              <w:t xml:space="preserve"> (internacionais)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</w:r>
          </w:p>
        </w:tc>
        <w:tc>
          <w:tcPr>
            <w:tcW w:w="300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color w:val="00000A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  <w:t>D1, D5</w:t>
            </w:r>
          </w:p>
        </w:tc>
      </w:tr>
      <w:tr>
        <w:trPr/>
        <w:tc>
          <w:tcPr>
            <w:tcW w:w="5636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left" w:pos="720" w:leader="none"/>
              </w:tabs>
              <w:suppressAutoHyphens w:val="true"/>
              <w:spacing w:lineRule="exact" w:line="240" w:before="0" w:after="0"/>
              <w:rPr/>
            </w:pPr>
            <w:r>
              <w:rPr>
                <w:rFonts w:eastAsia="Arial" w:cs="Arial" w:ascii="Arial" w:hAnsi="Arial"/>
                <w:color w:val="00000A"/>
                <w:sz w:val="24"/>
                <w:szCs w:val="24"/>
                <w:shd w:fill="FFFFFF" w:val="clear"/>
                <w:lang w:eastAsia="zh-CN" w:bidi="hi-IN"/>
              </w:rPr>
              <w:t>Convênios com empresas públicas e privadas</w:t>
            </w:r>
            <w:r>
              <w:rPr>
                <w:rFonts w:eastAsia="Arial" w:cs="Arial" w:ascii="Arial" w:hAnsi="Arial"/>
                <w:color w:val="00000A"/>
                <w:sz w:val="24"/>
                <w:szCs w:val="24"/>
                <w:highlight w:val="white"/>
                <w:lang w:eastAsia="zh-CN" w:bidi="hi-IN"/>
              </w:rPr>
              <w:t>.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</w:r>
          </w:p>
        </w:tc>
        <w:tc>
          <w:tcPr>
            <w:tcW w:w="300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color w:val="00000A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  <w:t>D4, D6</w:t>
            </w:r>
          </w:p>
        </w:tc>
      </w:tr>
      <w:tr>
        <w:trPr/>
        <w:tc>
          <w:tcPr>
            <w:tcW w:w="5636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left" w:pos="720" w:leader="none"/>
              </w:tabs>
              <w:suppressAutoHyphens w:val="true"/>
              <w:spacing w:lineRule="exact" w:line="240" w:before="0" w:after="0"/>
              <w:rPr/>
            </w:pPr>
            <w:r>
              <w:rPr>
                <w:rFonts w:eastAsia="Arial" w:cs="Arial" w:ascii="Arial" w:hAnsi="Arial"/>
                <w:color w:val="00000A"/>
                <w:sz w:val="24"/>
                <w:szCs w:val="24"/>
                <w:shd w:fill="FFFFFF" w:val="clear"/>
                <w:lang w:eastAsia="zh-CN" w:bidi="hi-IN"/>
              </w:rPr>
              <w:t>Uso de Novas tecnologias.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</w:r>
          </w:p>
        </w:tc>
        <w:tc>
          <w:tcPr>
            <w:tcW w:w="300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color w:val="00000A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  <w:t>D2, D4, D7</w:t>
            </w:r>
          </w:p>
        </w:tc>
      </w:tr>
      <w:tr>
        <w:trPr/>
        <w:tc>
          <w:tcPr>
            <w:tcW w:w="563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color w:val="00000A"/>
              </w:rPr>
            </w:pPr>
            <w:r>
              <w:rPr>
                <w:color w:val="00000A"/>
              </w:rPr>
            </w:r>
          </w:p>
        </w:tc>
        <w:tc>
          <w:tcPr>
            <w:tcW w:w="300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color w:val="00000A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  <w:t>D3, D6, D7</w:t>
            </w:r>
          </w:p>
        </w:tc>
      </w:tr>
      <w:tr>
        <w:trPr/>
        <w:tc>
          <w:tcPr>
            <w:tcW w:w="5636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left" w:pos="720" w:leader="none"/>
              </w:tabs>
              <w:suppressAutoHyphens w:val="true"/>
              <w:spacing w:lineRule="exact" w:line="240" w:before="0" w:after="0"/>
              <w:rPr/>
            </w:pPr>
            <w:r>
              <w:rPr>
                <w:rFonts w:eastAsia="Arial" w:cs="Arial" w:ascii="Arial" w:hAnsi="Arial"/>
                <w:color w:val="00000A"/>
                <w:sz w:val="24"/>
                <w:szCs w:val="24"/>
                <w:shd w:fill="FFFFFF" w:val="clear"/>
                <w:lang w:eastAsia="zh-CN" w:bidi="hi-IN"/>
              </w:rPr>
              <w:t>Circulação de elevado número de estudantes e comunidade diariamente no Campus</w:t>
            </w:r>
            <w:r>
              <w:rPr>
                <w:rFonts w:eastAsia="Arial" w:cs="Arial" w:ascii="Arial" w:hAnsi="Arial"/>
                <w:color w:val="00000A"/>
                <w:sz w:val="24"/>
                <w:szCs w:val="24"/>
                <w:highlight w:val="white"/>
                <w:lang w:eastAsia="zh-CN" w:bidi="hi-IN"/>
              </w:rPr>
              <w:t>.</w:t>
            </w:r>
          </w:p>
          <w:p>
            <w:pPr>
              <w:pStyle w:val="Normal"/>
              <w:spacing w:before="0" w:after="0"/>
              <w:ind w:firstLine="708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</w:r>
          </w:p>
        </w:tc>
        <w:tc>
          <w:tcPr>
            <w:tcW w:w="300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</w:r>
          </w:p>
        </w:tc>
      </w:tr>
      <w:tr>
        <w:trPr/>
        <w:tc>
          <w:tcPr>
            <w:tcW w:w="563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color w:val="00000A"/>
                <w:sz w:val="24"/>
                <w:szCs w:val="24"/>
                <w:shd w:fill="FFFFFF" w:val="clear"/>
              </w:rPr>
              <w:t>Benefícios e assistência estudantil</w:t>
            </w:r>
            <w:r>
              <w:rPr>
                <w:rFonts w:eastAsia="Arial" w:cs="Arial" w:ascii="Arial" w:hAnsi="Arial"/>
                <w:color w:val="00000A"/>
                <w:sz w:val="24"/>
                <w:szCs w:val="24"/>
                <w:highlight w:val="white"/>
              </w:rPr>
              <w:t>.</w:t>
            </w:r>
          </w:p>
        </w:tc>
        <w:tc>
          <w:tcPr>
            <w:tcW w:w="300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color w:val="00000A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  <w:t>D3, D6</w:t>
            </w:r>
          </w:p>
        </w:tc>
      </w:tr>
      <w:tr>
        <w:trPr/>
        <w:tc>
          <w:tcPr>
            <w:tcW w:w="5636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left" w:pos="720" w:leader="none"/>
              </w:tabs>
              <w:suppressAutoHyphens w:val="true"/>
              <w:spacing w:lineRule="exact" w:line="240" w:before="0" w:after="0"/>
              <w:rPr/>
            </w:pPr>
            <w:r>
              <w:rPr>
                <w:rFonts w:eastAsia="Arial" w:cs="Arial" w:ascii="Arial" w:hAnsi="Arial"/>
                <w:color w:val="00000A"/>
                <w:sz w:val="24"/>
                <w:szCs w:val="24"/>
                <w:shd w:fill="FFFFFF" w:val="clear"/>
                <w:lang w:eastAsia="zh-CN" w:bidi="hi-IN"/>
              </w:rPr>
              <w:t>Localização Geográfica da cidade</w:t>
            </w:r>
            <w:r>
              <w:rPr>
                <w:rFonts w:eastAsia="Arial" w:cs="Arial" w:ascii="Arial" w:hAnsi="Arial"/>
                <w:color w:val="00000A"/>
                <w:sz w:val="24"/>
                <w:szCs w:val="24"/>
                <w:highlight w:val="white"/>
                <w:lang w:eastAsia="zh-CN" w:bidi="hi-IN"/>
              </w:rPr>
              <w:t>.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</w:r>
          </w:p>
        </w:tc>
        <w:tc>
          <w:tcPr>
            <w:tcW w:w="300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color w:val="00000A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  <w:t>D1, D6</w:t>
            </w:r>
          </w:p>
        </w:tc>
      </w:tr>
      <w:tr>
        <w:trPr/>
        <w:tc>
          <w:tcPr>
            <w:tcW w:w="563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  <w:t>Promover atividades de interação com a SAI visando divulgação.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</w:r>
          </w:p>
        </w:tc>
        <w:tc>
          <w:tcPr>
            <w:tcW w:w="300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color w:val="00000A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  <w:t>D1</w:t>
            </w:r>
          </w:p>
        </w:tc>
      </w:tr>
      <w:tr>
        <w:trPr/>
        <w:tc>
          <w:tcPr>
            <w:tcW w:w="563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  <w:t>Incentivar a participação de alunos em cursos de idiomas.</w:t>
            </w:r>
          </w:p>
        </w:tc>
        <w:tc>
          <w:tcPr>
            <w:tcW w:w="300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color w:val="00000A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  <w:t>D1</w:t>
            </w:r>
          </w:p>
        </w:tc>
      </w:tr>
      <w:tr>
        <w:trPr/>
        <w:tc>
          <w:tcPr>
            <w:tcW w:w="563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  <w:t>Estimular e capacitar docentes para participar de editais de fomentos nacional e internacional.</w:t>
            </w:r>
          </w:p>
        </w:tc>
        <w:tc>
          <w:tcPr>
            <w:tcW w:w="300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color w:val="00000A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  <w:t>D1</w:t>
            </w:r>
          </w:p>
        </w:tc>
      </w:tr>
    </w:tbl>
    <w:p>
      <w:pPr>
        <w:pStyle w:val="Normal"/>
        <w:widowControl w:val="false"/>
        <w:tabs>
          <w:tab w:val="left" w:pos="720" w:leader="none"/>
        </w:tabs>
        <w:suppressAutoHyphens w:val="true"/>
        <w:spacing w:lineRule="exact" w:line="240"/>
        <w:jc w:val="both"/>
        <w:rPr>
          <w:rFonts w:ascii="Arial" w:hAnsi="Arial" w:cs="Arial"/>
          <w:color w:val="00000A"/>
          <w:sz w:val="24"/>
          <w:szCs w:val="24"/>
        </w:rPr>
      </w:pPr>
      <w:r>
        <w:rPr>
          <w:rFonts w:cs="Arial" w:ascii="Arial" w:hAnsi="Arial"/>
          <w:color w:val="00000A"/>
          <w:sz w:val="24"/>
          <w:szCs w:val="24"/>
        </w:rPr>
      </w:r>
    </w:p>
    <w:p>
      <w:pPr>
        <w:pStyle w:val="Normal"/>
        <w:widowControl w:val="false"/>
        <w:tabs>
          <w:tab w:val="left" w:pos="720" w:leader="none"/>
        </w:tabs>
        <w:suppressAutoHyphens w:val="true"/>
        <w:spacing w:lineRule="exact" w:line="240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cs="Arial" w:ascii="Arial" w:hAnsi="Arial"/>
          <w:color w:val="FF0000"/>
          <w:sz w:val="24"/>
          <w:szCs w:val="24"/>
        </w:rPr>
      </w:r>
    </w:p>
    <w:p>
      <w:pPr>
        <w:pStyle w:val="Normal"/>
        <w:rPr/>
      </w:pPr>
      <w:r>
        <w:rPr>
          <w:rFonts w:cs="Arial" w:ascii="Arial" w:hAnsi="Arial"/>
          <w:b/>
          <w:sz w:val="24"/>
          <w:szCs w:val="24"/>
        </w:rPr>
        <w:t>Quadro 3</w:t>
      </w:r>
      <w:r>
        <w:rPr>
          <w:rFonts w:cs="Arial" w:ascii="Arial" w:hAnsi="Arial"/>
          <w:sz w:val="24"/>
          <w:szCs w:val="24"/>
        </w:rPr>
        <w:t xml:space="preserve"> – </w:t>
      </w:r>
      <w:r>
        <w:rPr>
          <w:rFonts w:cs="Arial" w:ascii="Arial" w:hAnsi="Arial"/>
          <w:sz w:val="24"/>
          <w:szCs w:val="24"/>
          <w:u w:val="single"/>
        </w:rPr>
        <w:t>Fraquezas</w:t>
      </w:r>
      <w:r>
        <w:rPr>
          <w:rFonts w:cs="Arial" w:ascii="Arial" w:hAnsi="Arial"/>
          <w:sz w:val="24"/>
          <w:szCs w:val="24"/>
        </w:rPr>
        <w:t xml:space="preserve"> do CEFD vinculadas aos 7 desafios Institucionais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tbl>
      <w:tblPr>
        <w:tblW w:w="8644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344"/>
        <w:gridCol w:w="2299"/>
      </w:tblGrid>
      <w:tr>
        <w:trPr/>
        <w:tc>
          <w:tcPr>
            <w:tcW w:w="634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FRAQUEZAS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29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</w:rPr>
              <w:t>DESAFIOS</w:t>
            </w:r>
          </w:p>
        </w:tc>
      </w:tr>
      <w:tr>
        <w:trPr/>
        <w:tc>
          <w:tcPr>
            <w:tcW w:w="6344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left" w:pos="720" w:leader="none"/>
              </w:tabs>
              <w:suppressAutoHyphens w:val="true"/>
              <w:spacing w:lineRule="exact" w:line="240" w:before="0" w:after="0"/>
              <w:rPr>
                <w:color w:val="00000A"/>
              </w:rPr>
            </w:pPr>
            <w:r>
              <w:rPr>
                <w:rFonts w:eastAsia="Arial" w:cs="Arial" w:ascii="Arial" w:hAnsi="Arial"/>
                <w:color w:val="00000A"/>
                <w:sz w:val="24"/>
                <w:szCs w:val="24"/>
                <w:shd w:fill="FFFFFF" w:val="clear"/>
                <w:lang w:eastAsia="zh-CN" w:bidi="hi-IN"/>
              </w:rPr>
              <w:t>Instalações antigas e precárias gerais do prédio, acessos, calçamento, estacionamento, portaria, prédio obsoleto, falta de iluminação, de janelas, insalubridade, banheiros sem adaptação, limpeza geral.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</w:r>
          </w:p>
        </w:tc>
        <w:tc>
          <w:tcPr>
            <w:tcW w:w="229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color w:val="00000A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  <w:t>D2, D5, D6, D7</w:t>
            </w:r>
          </w:p>
        </w:tc>
      </w:tr>
      <w:tr>
        <w:trPr/>
        <w:tc>
          <w:tcPr>
            <w:tcW w:w="6344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left" w:pos="720" w:leader="none"/>
              </w:tabs>
              <w:suppressAutoHyphens w:val="true"/>
              <w:spacing w:lineRule="exact" w:line="240" w:before="0" w:after="0"/>
              <w:rPr/>
            </w:pPr>
            <w:r>
              <w:rPr>
                <w:rFonts w:eastAsia="Arial" w:cs="Arial" w:ascii="Arial" w:hAnsi="Arial"/>
                <w:color w:val="00000A"/>
                <w:sz w:val="24"/>
                <w:szCs w:val="24"/>
                <w:shd w:fill="FFFFFF" w:val="clear"/>
                <w:lang w:eastAsia="zh-CN" w:bidi="hi-IN"/>
              </w:rPr>
              <w:t>Poucos recursos financeiros para manutenção, melhorias e ampliações da estrutura física</w:t>
            </w:r>
            <w:r>
              <w:rPr>
                <w:rFonts w:eastAsia="Arial" w:cs="Arial" w:ascii="Arial" w:hAnsi="Arial"/>
                <w:color w:val="00000A"/>
                <w:sz w:val="24"/>
                <w:szCs w:val="24"/>
                <w:highlight w:val="white"/>
                <w:lang w:eastAsia="zh-CN" w:bidi="hi-IN"/>
              </w:rPr>
              <w:t>.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</w:r>
          </w:p>
        </w:tc>
        <w:tc>
          <w:tcPr>
            <w:tcW w:w="229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color w:val="00000A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  <w:t>D2, D5, D6, D7</w:t>
            </w:r>
          </w:p>
        </w:tc>
      </w:tr>
      <w:tr>
        <w:trPr/>
        <w:tc>
          <w:tcPr>
            <w:tcW w:w="6344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left" w:pos="720" w:leader="none"/>
              </w:tabs>
              <w:suppressAutoHyphens w:val="true"/>
              <w:spacing w:lineRule="exact" w:line="240" w:before="0" w:after="0"/>
              <w:rPr/>
            </w:pPr>
            <w:r>
              <w:rPr>
                <w:rFonts w:eastAsia="Arial" w:cs="Arial" w:ascii="Arial" w:hAnsi="Arial"/>
                <w:color w:val="00000A"/>
                <w:sz w:val="24"/>
                <w:szCs w:val="24"/>
                <w:shd w:fill="FFFFFF" w:val="clear"/>
                <w:lang w:eastAsia="zh-CN" w:bidi="hi-IN"/>
              </w:rPr>
              <w:t>Evasão dos alunos dos cursos do CEFD</w:t>
            </w:r>
            <w:r>
              <w:rPr>
                <w:rFonts w:eastAsia="Arial" w:cs="Arial" w:ascii="Arial" w:hAnsi="Arial"/>
                <w:color w:val="00000A"/>
                <w:sz w:val="24"/>
                <w:szCs w:val="24"/>
                <w:highlight w:val="white"/>
                <w:lang w:eastAsia="zh-CN" w:bidi="hi-IN"/>
              </w:rPr>
              <w:t>.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</w:r>
          </w:p>
        </w:tc>
        <w:tc>
          <w:tcPr>
            <w:tcW w:w="229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color w:val="00000A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  <w:t>D2, D3, D6</w:t>
            </w:r>
          </w:p>
        </w:tc>
      </w:tr>
      <w:tr>
        <w:trPr/>
        <w:tc>
          <w:tcPr>
            <w:tcW w:w="6344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left" w:pos="720" w:leader="none"/>
              </w:tabs>
              <w:suppressAutoHyphens w:val="true"/>
              <w:spacing w:lineRule="exact" w:line="240" w:before="0" w:after="0"/>
              <w:rPr/>
            </w:pPr>
            <w:r>
              <w:rPr>
                <w:rFonts w:eastAsia="Arial" w:cs="Arial" w:ascii="Arial" w:hAnsi="Arial"/>
                <w:color w:val="00000A"/>
                <w:sz w:val="24"/>
                <w:szCs w:val="24"/>
                <w:shd w:fill="FFFFFF" w:val="clear"/>
                <w:lang w:eastAsia="zh-CN" w:bidi="hi-IN"/>
              </w:rPr>
              <w:t>Demora para atualização dos cursos e/ou reforma curricular</w:t>
            </w:r>
            <w:r>
              <w:rPr>
                <w:rFonts w:eastAsia="Arial" w:cs="Arial" w:ascii="Arial" w:hAnsi="Arial"/>
                <w:color w:val="00000A"/>
                <w:sz w:val="24"/>
                <w:szCs w:val="24"/>
                <w:highlight w:val="white"/>
                <w:lang w:eastAsia="zh-CN" w:bidi="hi-IN"/>
              </w:rPr>
              <w:t>.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</w:r>
          </w:p>
        </w:tc>
        <w:tc>
          <w:tcPr>
            <w:tcW w:w="229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color w:val="00000A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  <w:t>D1, D2, D3, D6</w:t>
            </w:r>
          </w:p>
        </w:tc>
      </w:tr>
      <w:tr>
        <w:trPr/>
        <w:tc>
          <w:tcPr>
            <w:tcW w:w="6344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left" w:pos="720" w:leader="none"/>
              </w:tabs>
              <w:suppressAutoHyphens w:val="true"/>
              <w:spacing w:lineRule="exact" w:line="240" w:before="0" w:after="0"/>
              <w:rPr/>
            </w:pPr>
            <w:r>
              <w:rPr>
                <w:rFonts w:eastAsia="Arial" w:cs="Arial" w:ascii="Arial" w:hAnsi="Arial"/>
                <w:color w:val="00000A"/>
                <w:sz w:val="24"/>
                <w:szCs w:val="24"/>
                <w:shd w:fill="FFFFFF" w:val="clear"/>
                <w:lang w:eastAsia="zh-CN" w:bidi="hi-IN"/>
              </w:rPr>
              <w:t xml:space="preserve">Má distribuição de espaços e horários de aulas e atividades </w:t>
            </w:r>
            <w:r>
              <w:rPr>
                <w:rFonts w:eastAsia="Arial" w:cs="Arial" w:ascii="Arial" w:hAnsi="Arial"/>
                <w:color w:val="00000A"/>
                <w:sz w:val="24"/>
                <w:szCs w:val="24"/>
                <w:highlight w:val="white"/>
                <w:lang w:eastAsia="zh-CN" w:bidi="hi-IN"/>
              </w:rPr>
              <w:t>.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</w:r>
          </w:p>
        </w:tc>
        <w:tc>
          <w:tcPr>
            <w:tcW w:w="229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color w:val="00000A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  <w:t>D5</w:t>
            </w:r>
          </w:p>
        </w:tc>
      </w:tr>
      <w:tr>
        <w:trPr/>
        <w:tc>
          <w:tcPr>
            <w:tcW w:w="6344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left" w:pos="720" w:leader="none"/>
              </w:tabs>
              <w:suppressAutoHyphens w:val="true"/>
              <w:spacing w:lineRule="exact" w:line="240" w:before="0" w:after="0"/>
              <w:rPr/>
            </w:pPr>
            <w:r>
              <w:rPr>
                <w:rFonts w:eastAsia="Arial" w:cs="Arial" w:ascii="Arial" w:hAnsi="Arial"/>
                <w:color w:val="00000A"/>
                <w:sz w:val="24"/>
                <w:szCs w:val="24"/>
                <w:shd w:fill="FFFFFF" w:val="clear"/>
                <w:lang w:eastAsia="zh-CN" w:bidi="hi-IN"/>
              </w:rPr>
              <w:t>Falta de um espaço de guarda e controle dos materiais de uso comum nos ginásios, quadras, piscinas</w:t>
            </w:r>
            <w:r>
              <w:rPr>
                <w:rFonts w:eastAsia="Arial" w:cs="Arial" w:ascii="Arial" w:hAnsi="Arial"/>
                <w:color w:val="00000A"/>
                <w:sz w:val="24"/>
                <w:szCs w:val="24"/>
                <w:highlight w:val="white"/>
                <w:lang w:eastAsia="zh-CN" w:bidi="hi-IN"/>
              </w:rPr>
              <w:t>.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</w:r>
          </w:p>
        </w:tc>
        <w:tc>
          <w:tcPr>
            <w:tcW w:w="229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color w:val="00000A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  <w:t>D5</w:t>
            </w:r>
          </w:p>
        </w:tc>
      </w:tr>
      <w:tr>
        <w:trPr/>
        <w:tc>
          <w:tcPr>
            <w:tcW w:w="6344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left" w:pos="720" w:leader="none"/>
              </w:tabs>
              <w:suppressAutoHyphens w:val="true"/>
              <w:spacing w:lineRule="exact" w:line="240" w:before="0" w:after="0"/>
              <w:rPr/>
            </w:pPr>
            <w:r>
              <w:rPr>
                <w:rFonts w:eastAsia="Arial" w:cs="Arial" w:ascii="Arial" w:hAnsi="Arial"/>
                <w:color w:val="00000A"/>
                <w:sz w:val="24"/>
                <w:szCs w:val="24"/>
                <w:shd w:fill="FFFFFF" w:val="clear"/>
                <w:lang w:eastAsia="zh-CN" w:bidi="hi-IN"/>
              </w:rPr>
              <w:t>Segurança/PPCI</w:t>
            </w:r>
            <w:r>
              <w:rPr>
                <w:rFonts w:eastAsia="Arial" w:cs="Arial" w:ascii="Arial" w:hAnsi="Arial"/>
                <w:color w:val="00000A"/>
                <w:sz w:val="24"/>
                <w:szCs w:val="24"/>
                <w:highlight w:val="white"/>
                <w:lang w:eastAsia="zh-CN" w:bidi="hi-IN"/>
              </w:rPr>
              <w:t>.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</w:r>
          </w:p>
        </w:tc>
        <w:tc>
          <w:tcPr>
            <w:tcW w:w="229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color w:val="00000A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  <w:t>D5, D7</w:t>
            </w:r>
          </w:p>
        </w:tc>
      </w:tr>
      <w:tr>
        <w:trPr/>
        <w:tc>
          <w:tcPr>
            <w:tcW w:w="6344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left" w:pos="720" w:leader="none"/>
              </w:tabs>
              <w:suppressAutoHyphens w:val="true"/>
              <w:spacing w:lineRule="exact" w:line="240" w:before="0" w:after="0"/>
              <w:rPr/>
            </w:pPr>
            <w:r>
              <w:rPr>
                <w:rFonts w:eastAsia="Arial" w:cs="Arial" w:ascii="Arial" w:hAnsi="Arial"/>
                <w:color w:val="00000A"/>
                <w:sz w:val="24"/>
                <w:szCs w:val="24"/>
                <w:shd w:fill="FFFFFF" w:val="clear"/>
                <w:lang w:eastAsia="zh-CN" w:bidi="hi-IN"/>
              </w:rPr>
              <w:t>Fechamento do setor de fotocopiadora</w:t>
            </w:r>
            <w:r>
              <w:rPr>
                <w:rFonts w:eastAsia="Arial" w:cs="Arial" w:ascii="Arial" w:hAnsi="Arial"/>
                <w:color w:val="00000A"/>
                <w:sz w:val="24"/>
                <w:szCs w:val="24"/>
                <w:highlight w:val="white"/>
                <w:lang w:eastAsia="zh-CN" w:bidi="hi-IN"/>
              </w:rPr>
              <w:t>.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</w:r>
          </w:p>
        </w:tc>
        <w:tc>
          <w:tcPr>
            <w:tcW w:w="229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color w:val="00000A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  <w:t>D4, D5, D7</w:t>
            </w:r>
          </w:p>
        </w:tc>
      </w:tr>
      <w:tr>
        <w:trPr/>
        <w:tc>
          <w:tcPr>
            <w:tcW w:w="6344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left" w:pos="720" w:leader="none"/>
              </w:tabs>
              <w:suppressAutoHyphens w:val="true"/>
              <w:spacing w:lineRule="exact" w:line="240" w:before="0" w:after="0"/>
              <w:rPr/>
            </w:pPr>
            <w:r>
              <w:rPr>
                <w:rFonts w:eastAsia="Arial" w:cs="Arial" w:ascii="Arial" w:hAnsi="Arial"/>
                <w:color w:val="00000A"/>
                <w:sz w:val="24"/>
                <w:szCs w:val="24"/>
                <w:shd w:fill="FFFFFF" w:val="clear"/>
                <w:lang w:eastAsia="zh-CN" w:bidi="hi-IN"/>
              </w:rPr>
              <w:t>Falta de profissionalismo na aceitação de posições divergentes em debates ou em decisões administrativas</w:t>
            </w:r>
            <w:r>
              <w:rPr>
                <w:rFonts w:eastAsia="Arial" w:cs="Arial" w:ascii="Arial" w:hAnsi="Arial"/>
                <w:color w:val="00000A"/>
                <w:sz w:val="24"/>
                <w:szCs w:val="24"/>
                <w:highlight w:val="white"/>
                <w:lang w:eastAsia="zh-CN" w:bidi="hi-IN"/>
              </w:rPr>
              <w:t>.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</w:r>
          </w:p>
        </w:tc>
        <w:tc>
          <w:tcPr>
            <w:tcW w:w="229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color w:val="00000A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  <w:t>D2, D4, D5</w:t>
            </w:r>
          </w:p>
        </w:tc>
      </w:tr>
      <w:tr>
        <w:trPr/>
        <w:tc>
          <w:tcPr>
            <w:tcW w:w="6344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left" w:pos="720" w:leader="none"/>
              </w:tabs>
              <w:suppressAutoHyphens w:val="true"/>
              <w:spacing w:lineRule="exact" w:line="240" w:before="0" w:after="0"/>
              <w:rPr/>
            </w:pPr>
            <w:r>
              <w:rPr>
                <w:rFonts w:eastAsia="Arial" w:cs="Arial" w:ascii="Arial" w:hAnsi="Arial"/>
                <w:color w:val="00000A"/>
                <w:sz w:val="24"/>
                <w:szCs w:val="24"/>
                <w:shd w:fill="FFFFFF" w:val="clear"/>
                <w:lang w:eastAsia="zh-CN" w:bidi="hi-IN"/>
              </w:rPr>
              <w:t>Pouco comprometimento com a formação acadêmica or parte de alunos, professores e técnicos</w:t>
            </w:r>
            <w:r>
              <w:rPr>
                <w:rFonts w:eastAsia="Arial" w:cs="Arial" w:ascii="Arial" w:hAnsi="Arial"/>
                <w:color w:val="00000A"/>
                <w:sz w:val="24"/>
                <w:szCs w:val="24"/>
                <w:highlight w:val="white"/>
                <w:lang w:eastAsia="zh-CN" w:bidi="hi-IN"/>
              </w:rPr>
              <w:t>.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</w:r>
          </w:p>
        </w:tc>
        <w:tc>
          <w:tcPr>
            <w:tcW w:w="229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color w:val="00000A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  <w:t>D2, D4, D5</w:t>
            </w:r>
          </w:p>
        </w:tc>
      </w:tr>
      <w:tr>
        <w:trPr/>
        <w:tc>
          <w:tcPr>
            <w:tcW w:w="6344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left" w:pos="720" w:leader="none"/>
              </w:tabs>
              <w:suppressAutoHyphens w:val="true"/>
              <w:spacing w:lineRule="exact" w:line="240" w:before="0" w:after="0"/>
              <w:rPr/>
            </w:pPr>
            <w:r>
              <w:rPr>
                <w:rFonts w:eastAsia="Arial" w:cs="Arial" w:ascii="Arial" w:hAnsi="Arial"/>
                <w:color w:val="00000A"/>
                <w:sz w:val="24"/>
                <w:szCs w:val="24"/>
                <w:shd w:fill="FFFFFF" w:val="clear"/>
                <w:lang w:eastAsia="zh-CN" w:bidi="hi-IN"/>
              </w:rPr>
              <w:t>Não cumprimento adequado das rotinas administrativas</w:t>
            </w:r>
            <w:r>
              <w:rPr>
                <w:rFonts w:eastAsia="Arial" w:cs="Arial" w:ascii="Arial" w:hAnsi="Arial"/>
                <w:color w:val="00000A"/>
                <w:sz w:val="24"/>
                <w:szCs w:val="24"/>
                <w:highlight w:val="white"/>
                <w:lang w:eastAsia="zh-CN" w:bidi="hi-IN"/>
              </w:rPr>
              <w:t>.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</w:r>
          </w:p>
        </w:tc>
        <w:tc>
          <w:tcPr>
            <w:tcW w:w="229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color w:val="00000A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  <w:t>D5</w:t>
            </w:r>
          </w:p>
        </w:tc>
      </w:tr>
      <w:tr>
        <w:trPr/>
        <w:tc>
          <w:tcPr>
            <w:tcW w:w="6344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left" w:pos="720" w:leader="none"/>
              </w:tabs>
              <w:suppressAutoHyphens w:val="true"/>
              <w:spacing w:lineRule="exact" w:line="240" w:before="0" w:after="0"/>
              <w:rPr/>
            </w:pPr>
            <w:r>
              <w:rPr>
                <w:rFonts w:eastAsia="Arial" w:cs="Arial" w:ascii="Arial" w:hAnsi="Arial"/>
                <w:color w:val="00000A"/>
                <w:sz w:val="24"/>
                <w:szCs w:val="24"/>
                <w:shd w:fill="FFFFFF" w:val="clear"/>
                <w:lang w:eastAsia="zh-CN" w:bidi="hi-IN"/>
              </w:rPr>
              <w:t>Recursos limitados para incentivo de docentes, Técnicos Administrativos em Educação e estudantes para participação em eventos e cursos</w:t>
            </w:r>
            <w:r>
              <w:rPr>
                <w:rFonts w:eastAsia="Arial" w:cs="Arial" w:ascii="Arial" w:hAnsi="Arial"/>
                <w:color w:val="00000A"/>
                <w:sz w:val="24"/>
                <w:szCs w:val="24"/>
                <w:highlight w:val="white"/>
                <w:lang w:eastAsia="zh-CN" w:bidi="hi-IN"/>
              </w:rPr>
              <w:t>.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</w:r>
          </w:p>
        </w:tc>
        <w:tc>
          <w:tcPr>
            <w:tcW w:w="229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color w:val="00000A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  <w:t>D2, D5</w:t>
            </w:r>
          </w:p>
        </w:tc>
      </w:tr>
      <w:tr>
        <w:trPr/>
        <w:tc>
          <w:tcPr>
            <w:tcW w:w="6344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left" w:pos="720" w:leader="none"/>
              </w:tabs>
              <w:suppressAutoHyphens w:val="true"/>
              <w:spacing w:lineRule="exact" w:line="240" w:before="0" w:after="0"/>
              <w:rPr/>
            </w:pPr>
            <w:r>
              <w:rPr>
                <w:rFonts w:eastAsia="Arial" w:cs="Arial" w:ascii="Arial" w:hAnsi="Arial"/>
                <w:color w:val="00000A"/>
                <w:sz w:val="24"/>
                <w:szCs w:val="24"/>
                <w:shd w:fill="FFFFFF" w:val="clear"/>
                <w:lang w:eastAsia="zh-CN" w:bidi="hi-IN"/>
              </w:rPr>
              <w:t>Inexistência de um espaço próprio e adequado de convivência.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</w:r>
          </w:p>
        </w:tc>
        <w:tc>
          <w:tcPr>
            <w:tcW w:w="229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color w:val="00000A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  <w:t>D5</w:t>
            </w:r>
          </w:p>
        </w:tc>
      </w:tr>
      <w:tr>
        <w:trPr/>
        <w:tc>
          <w:tcPr>
            <w:tcW w:w="6344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left" w:pos="720" w:leader="none"/>
              </w:tabs>
              <w:suppressAutoHyphens w:val="true"/>
              <w:spacing w:lineRule="exact" w:line="240" w:before="0" w:after="0"/>
              <w:rPr/>
            </w:pPr>
            <w:r>
              <w:rPr>
                <w:rFonts w:eastAsia="Arial" w:cs="Arial" w:ascii="Arial" w:hAnsi="Arial"/>
                <w:color w:val="00000A"/>
                <w:sz w:val="24"/>
                <w:szCs w:val="24"/>
                <w:shd w:fill="FFFFFF" w:val="clear"/>
                <w:lang w:eastAsia="zh-CN" w:bidi="hi-IN"/>
              </w:rPr>
              <w:t>Falta de comunicação interna e divulgação das atividades</w:t>
            </w:r>
            <w:r>
              <w:rPr>
                <w:rFonts w:eastAsia="Arial" w:cs="Arial" w:ascii="Arial" w:hAnsi="Arial"/>
                <w:color w:val="00000A"/>
                <w:sz w:val="24"/>
                <w:szCs w:val="24"/>
                <w:highlight w:val="white"/>
                <w:lang w:eastAsia="zh-CN" w:bidi="hi-IN"/>
              </w:rPr>
              <w:t>.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</w:r>
          </w:p>
        </w:tc>
        <w:tc>
          <w:tcPr>
            <w:tcW w:w="229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color w:val="00000A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  <w:t>D5</w:t>
            </w:r>
          </w:p>
        </w:tc>
      </w:tr>
      <w:tr>
        <w:trPr/>
        <w:tc>
          <w:tcPr>
            <w:tcW w:w="6344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left" w:pos="720" w:leader="none"/>
              </w:tabs>
              <w:suppressAutoHyphens w:val="true"/>
              <w:spacing w:lineRule="exact" w:line="240" w:before="0" w:after="0"/>
              <w:rPr/>
            </w:pPr>
            <w:r>
              <w:rPr>
                <w:rFonts w:eastAsia="Arial" w:cs="Arial" w:ascii="Arial" w:hAnsi="Arial"/>
                <w:color w:val="00000A"/>
                <w:sz w:val="24"/>
                <w:szCs w:val="24"/>
                <w:shd w:fill="FFFFFF" w:val="clear"/>
                <w:lang w:eastAsia="zh-CN" w:bidi="hi-IN"/>
              </w:rPr>
              <w:t>Lancheria com horários reduzidos e/ou insuficientes</w:t>
            </w:r>
            <w:r>
              <w:rPr>
                <w:rFonts w:eastAsia="Arial" w:cs="Arial" w:ascii="Arial" w:hAnsi="Arial"/>
                <w:color w:val="00000A"/>
                <w:sz w:val="24"/>
                <w:szCs w:val="24"/>
                <w:highlight w:val="white"/>
                <w:lang w:eastAsia="zh-CN" w:bidi="hi-IN"/>
              </w:rPr>
              <w:t>.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</w:r>
          </w:p>
        </w:tc>
        <w:tc>
          <w:tcPr>
            <w:tcW w:w="229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color w:val="00000A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  <w:t>D5</w:t>
            </w:r>
          </w:p>
        </w:tc>
      </w:tr>
      <w:tr>
        <w:trPr/>
        <w:tc>
          <w:tcPr>
            <w:tcW w:w="6344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left" w:pos="720" w:leader="none"/>
              </w:tabs>
              <w:suppressAutoHyphens w:val="true"/>
              <w:spacing w:lineRule="exact" w:line="240" w:before="0" w:after="0"/>
              <w:rPr/>
            </w:pPr>
            <w:r>
              <w:rPr>
                <w:rFonts w:eastAsia="Arial" w:cs="Arial" w:ascii="Arial" w:hAnsi="Arial"/>
                <w:color w:val="00000A"/>
                <w:sz w:val="24"/>
                <w:szCs w:val="24"/>
                <w:shd w:fill="FFFFFF" w:val="clear"/>
                <w:lang w:eastAsia="zh-CN" w:bidi="hi-IN"/>
              </w:rPr>
              <w:t>Falta de vagas docentes</w:t>
            </w:r>
            <w:r>
              <w:rPr>
                <w:rFonts w:eastAsia="Arial" w:cs="Arial" w:ascii="Arial" w:hAnsi="Arial"/>
                <w:color w:val="00000A"/>
                <w:sz w:val="24"/>
                <w:szCs w:val="24"/>
                <w:highlight w:val="white"/>
                <w:lang w:eastAsia="zh-CN" w:bidi="hi-IN"/>
              </w:rPr>
              <w:t>.</w:t>
            </w:r>
          </w:p>
          <w:p>
            <w:pPr>
              <w:pStyle w:val="Normal"/>
              <w:widowControl w:val="false"/>
              <w:tabs>
                <w:tab w:val="left" w:pos="720" w:leader="none"/>
              </w:tabs>
              <w:suppressAutoHyphens w:val="true"/>
              <w:spacing w:lineRule="exact" w:line="240" w:before="0" w:after="0"/>
              <w:ind w:left="720" w:hanging="0"/>
              <w:rPr>
                <w:rFonts w:ascii="Arial" w:hAnsi="Arial" w:eastAsia="Arial" w:cs="Arial"/>
                <w:color w:val="00000A"/>
                <w:sz w:val="24"/>
                <w:szCs w:val="24"/>
                <w:shd w:fill="FFFFFF" w:val="clear"/>
                <w:lang w:eastAsia="zh-CN" w:bidi="hi-IN"/>
              </w:rPr>
            </w:pPr>
            <w:r>
              <w:rPr>
                <w:rFonts w:eastAsia="Arial" w:cs="Arial" w:ascii="Arial" w:hAnsi="Arial"/>
                <w:color w:val="00000A"/>
                <w:sz w:val="24"/>
                <w:szCs w:val="24"/>
                <w:shd w:fill="FFFFFF" w:val="clear"/>
                <w:lang w:eastAsia="zh-CN" w:bidi="hi-IN"/>
              </w:rPr>
            </w:r>
          </w:p>
        </w:tc>
        <w:tc>
          <w:tcPr>
            <w:tcW w:w="229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color w:val="00000A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  <w:t>D2</w:t>
            </w:r>
          </w:p>
        </w:tc>
      </w:tr>
      <w:tr>
        <w:trPr/>
        <w:tc>
          <w:tcPr>
            <w:tcW w:w="6344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left" w:pos="720" w:leader="none"/>
              </w:tabs>
              <w:suppressAutoHyphens w:val="true"/>
              <w:spacing w:lineRule="exact" w:line="240" w:before="0" w:after="0"/>
              <w:rPr/>
            </w:pPr>
            <w:r>
              <w:rPr>
                <w:rFonts w:eastAsia="Arial" w:cs="Arial" w:ascii="Arial" w:hAnsi="Arial"/>
                <w:color w:val="00000A"/>
                <w:sz w:val="24"/>
                <w:szCs w:val="24"/>
                <w:shd w:fill="FFFFFF" w:val="clear"/>
                <w:lang w:eastAsia="zh-CN" w:bidi="hi-IN"/>
              </w:rPr>
              <w:t>Separação de gênero em disciplinas de Educação Física (LDN, PCN)</w:t>
            </w:r>
            <w:r>
              <w:rPr>
                <w:rFonts w:eastAsia="Arial" w:cs="Arial" w:ascii="Arial" w:hAnsi="Arial"/>
                <w:color w:val="00000A"/>
                <w:sz w:val="24"/>
                <w:szCs w:val="24"/>
                <w:highlight w:val="white"/>
                <w:lang w:eastAsia="zh-CN" w:bidi="hi-IN"/>
              </w:rPr>
              <w:t>.</w:t>
            </w:r>
          </w:p>
          <w:p>
            <w:pPr>
              <w:pStyle w:val="Normal"/>
              <w:widowControl w:val="false"/>
              <w:tabs>
                <w:tab w:val="left" w:pos="720" w:leader="none"/>
              </w:tabs>
              <w:suppressAutoHyphens w:val="true"/>
              <w:spacing w:lineRule="exact" w:line="240" w:before="0" w:after="0"/>
              <w:ind w:left="720" w:hanging="0"/>
              <w:rPr>
                <w:rFonts w:ascii="Arial" w:hAnsi="Arial" w:eastAsia="Arial" w:cs="Arial"/>
                <w:color w:val="00000A"/>
                <w:sz w:val="24"/>
                <w:szCs w:val="24"/>
                <w:shd w:fill="FFFFFF" w:val="clear"/>
                <w:lang w:eastAsia="zh-CN" w:bidi="hi-IN"/>
              </w:rPr>
            </w:pPr>
            <w:r>
              <w:rPr>
                <w:rFonts w:eastAsia="Arial" w:cs="Arial" w:ascii="Arial" w:hAnsi="Arial"/>
                <w:color w:val="00000A"/>
                <w:sz w:val="24"/>
                <w:szCs w:val="24"/>
                <w:shd w:fill="FFFFFF" w:val="clear"/>
                <w:lang w:eastAsia="zh-CN" w:bidi="hi-IN"/>
              </w:rPr>
            </w:r>
          </w:p>
        </w:tc>
        <w:tc>
          <w:tcPr>
            <w:tcW w:w="229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color w:val="00000A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  <w:t>D2, D3</w:t>
            </w:r>
          </w:p>
        </w:tc>
      </w:tr>
      <w:tr>
        <w:trPr/>
        <w:tc>
          <w:tcPr>
            <w:tcW w:w="6344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left" w:pos="720" w:leader="none"/>
              </w:tabs>
              <w:suppressAutoHyphens w:val="true"/>
              <w:spacing w:lineRule="exact" w:line="240" w:before="0" w:after="0"/>
              <w:rPr/>
            </w:pPr>
            <w:r>
              <w:rPr>
                <w:rFonts w:eastAsia="Arial" w:cs="Arial" w:ascii="Arial" w:hAnsi="Arial"/>
                <w:color w:val="00000A"/>
                <w:sz w:val="24"/>
                <w:szCs w:val="24"/>
                <w:shd w:fill="FFFFFF" w:val="clear"/>
                <w:lang w:eastAsia="zh-CN" w:bidi="hi-IN"/>
              </w:rPr>
              <w:t>Falta de rede a cabo e Wi-Fi em salas de aula e computadores</w:t>
            </w:r>
            <w:r>
              <w:rPr>
                <w:rFonts w:eastAsia="Arial" w:cs="Arial" w:ascii="Arial" w:hAnsi="Arial"/>
                <w:color w:val="00000A"/>
                <w:sz w:val="24"/>
                <w:szCs w:val="24"/>
                <w:highlight w:val="white"/>
                <w:lang w:eastAsia="zh-CN" w:bidi="hi-IN"/>
              </w:rPr>
              <w:t>.</w:t>
            </w:r>
          </w:p>
          <w:p>
            <w:pPr>
              <w:pStyle w:val="Normal"/>
              <w:widowControl w:val="false"/>
              <w:tabs>
                <w:tab w:val="left" w:pos="720" w:leader="none"/>
              </w:tabs>
              <w:suppressAutoHyphens w:val="true"/>
              <w:spacing w:lineRule="exact" w:line="240" w:before="0" w:after="0"/>
              <w:ind w:left="720" w:hanging="0"/>
              <w:rPr>
                <w:rFonts w:ascii="Arial" w:hAnsi="Arial" w:eastAsia="Arial" w:cs="Arial"/>
                <w:color w:val="00000A"/>
                <w:sz w:val="24"/>
                <w:szCs w:val="24"/>
                <w:shd w:fill="FFFFFF" w:val="clear"/>
                <w:lang w:eastAsia="zh-CN" w:bidi="hi-IN"/>
              </w:rPr>
            </w:pPr>
            <w:r>
              <w:rPr>
                <w:rFonts w:eastAsia="Arial" w:cs="Arial" w:ascii="Arial" w:hAnsi="Arial"/>
                <w:color w:val="00000A"/>
                <w:sz w:val="24"/>
                <w:szCs w:val="24"/>
                <w:shd w:fill="FFFFFF" w:val="clear"/>
                <w:lang w:eastAsia="zh-CN" w:bidi="hi-IN"/>
              </w:rPr>
            </w:r>
          </w:p>
        </w:tc>
        <w:tc>
          <w:tcPr>
            <w:tcW w:w="229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color w:val="00000A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  <w:t>D2, D5</w:t>
            </w:r>
          </w:p>
        </w:tc>
      </w:tr>
      <w:tr>
        <w:trPr/>
        <w:tc>
          <w:tcPr>
            <w:tcW w:w="6344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left" w:pos="720" w:leader="none"/>
              </w:tabs>
              <w:suppressAutoHyphens w:val="true"/>
              <w:spacing w:lineRule="exact" w:line="240" w:before="0" w:after="0"/>
              <w:rPr/>
            </w:pPr>
            <w:r>
              <w:rPr>
                <w:rFonts w:eastAsia="Arial" w:cs="Arial" w:ascii="Arial" w:hAnsi="Arial"/>
                <w:color w:val="00000A"/>
                <w:sz w:val="24"/>
                <w:szCs w:val="24"/>
                <w:shd w:fill="FFFFFF" w:val="clear"/>
                <w:lang w:eastAsia="zh-CN" w:bidi="hi-IN"/>
              </w:rPr>
              <w:t>Laboratório de informática insuficiente</w:t>
            </w:r>
            <w:r>
              <w:rPr>
                <w:rFonts w:eastAsia="Arial" w:cs="Arial" w:ascii="Arial" w:hAnsi="Arial"/>
                <w:color w:val="00000A"/>
                <w:sz w:val="24"/>
                <w:szCs w:val="24"/>
                <w:highlight w:val="white"/>
                <w:lang w:eastAsia="zh-CN" w:bidi="hi-IN"/>
              </w:rPr>
              <w:t>.</w:t>
            </w:r>
          </w:p>
          <w:p>
            <w:pPr>
              <w:pStyle w:val="Normal"/>
              <w:widowControl w:val="false"/>
              <w:tabs>
                <w:tab w:val="left" w:pos="720" w:leader="none"/>
              </w:tabs>
              <w:suppressAutoHyphens w:val="true"/>
              <w:spacing w:lineRule="exact" w:line="240" w:before="0" w:after="0"/>
              <w:ind w:left="720" w:hanging="0"/>
              <w:rPr>
                <w:rFonts w:ascii="Arial" w:hAnsi="Arial" w:eastAsia="Arial" w:cs="Arial"/>
                <w:color w:val="00000A"/>
                <w:sz w:val="24"/>
                <w:szCs w:val="24"/>
                <w:shd w:fill="FFFFFF" w:val="clear"/>
                <w:lang w:eastAsia="zh-CN" w:bidi="hi-IN"/>
              </w:rPr>
            </w:pPr>
            <w:r>
              <w:rPr>
                <w:rFonts w:eastAsia="Arial" w:cs="Arial" w:ascii="Arial" w:hAnsi="Arial"/>
                <w:color w:val="00000A"/>
                <w:sz w:val="24"/>
                <w:szCs w:val="24"/>
                <w:shd w:fill="FFFFFF" w:val="clear"/>
                <w:lang w:eastAsia="zh-CN" w:bidi="hi-IN"/>
              </w:rPr>
            </w:r>
          </w:p>
        </w:tc>
        <w:tc>
          <w:tcPr>
            <w:tcW w:w="229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color w:val="00000A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  <w:t>D2, D5</w:t>
            </w:r>
          </w:p>
        </w:tc>
      </w:tr>
      <w:tr>
        <w:trPr/>
        <w:tc>
          <w:tcPr>
            <w:tcW w:w="6344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left" w:pos="720" w:leader="none"/>
              </w:tabs>
              <w:suppressAutoHyphens w:val="true"/>
              <w:spacing w:lineRule="exact" w:line="240" w:before="0" w:after="0"/>
              <w:rPr/>
            </w:pPr>
            <w:r>
              <w:rPr>
                <w:rFonts w:eastAsia="Arial" w:cs="Arial" w:ascii="Arial" w:hAnsi="Arial"/>
                <w:color w:val="00000A"/>
                <w:sz w:val="24"/>
                <w:szCs w:val="24"/>
                <w:shd w:fill="FFFFFF" w:val="clear"/>
                <w:lang w:eastAsia="zh-CN" w:bidi="hi-IN"/>
              </w:rPr>
              <w:t>Falta de transparência na definição de critérios para auxílio a professores em eventos.</w:t>
            </w:r>
          </w:p>
          <w:p>
            <w:pPr>
              <w:pStyle w:val="Normal"/>
              <w:widowControl w:val="false"/>
              <w:tabs>
                <w:tab w:val="left" w:pos="720" w:leader="none"/>
              </w:tabs>
              <w:suppressAutoHyphens w:val="true"/>
              <w:spacing w:lineRule="exact" w:line="240" w:before="0" w:after="0"/>
              <w:ind w:left="720" w:hanging="0"/>
              <w:rPr>
                <w:rFonts w:ascii="Arial" w:hAnsi="Arial" w:eastAsia="Arial" w:cs="Arial"/>
                <w:color w:val="00000A"/>
                <w:sz w:val="24"/>
                <w:szCs w:val="24"/>
                <w:shd w:fill="FFFFFF" w:val="clear"/>
                <w:lang w:eastAsia="zh-CN" w:bidi="hi-IN"/>
              </w:rPr>
            </w:pPr>
            <w:r>
              <w:rPr>
                <w:rFonts w:eastAsia="Arial" w:cs="Arial" w:ascii="Arial" w:hAnsi="Arial"/>
                <w:color w:val="00000A"/>
                <w:sz w:val="24"/>
                <w:szCs w:val="24"/>
                <w:shd w:fill="FFFFFF" w:val="clear"/>
                <w:lang w:eastAsia="zh-CN" w:bidi="hi-IN"/>
              </w:rPr>
            </w:r>
          </w:p>
        </w:tc>
        <w:tc>
          <w:tcPr>
            <w:tcW w:w="229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color w:val="00000A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  <w:t>D5</w:t>
            </w:r>
          </w:p>
        </w:tc>
      </w:tr>
      <w:tr>
        <w:trPr/>
        <w:tc>
          <w:tcPr>
            <w:tcW w:w="6344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left" w:pos="720" w:leader="none"/>
              </w:tabs>
              <w:suppressAutoHyphens w:val="true"/>
              <w:spacing w:lineRule="exact" w:line="240" w:before="0" w:after="0"/>
              <w:rPr/>
            </w:pPr>
            <w:r>
              <w:rPr>
                <w:rFonts w:eastAsia="Arial" w:cs="Arial" w:ascii="Arial" w:hAnsi="Arial"/>
                <w:color w:val="00000A"/>
                <w:sz w:val="24"/>
                <w:szCs w:val="24"/>
                <w:shd w:fill="FFFFFF" w:val="clear"/>
                <w:lang w:eastAsia="zh-CN" w:bidi="hi-IN"/>
              </w:rPr>
              <w:t>Pouco apoio aos cursos de Mestrados</w:t>
            </w:r>
            <w:r>
              <w:rPr>
                <w:rFonts w:eastAsia="Arial" w:cs="Arial" w:ascii="Arial" w:hAnsi="Arial"/>
                <w:color w:val="00000A"/>
                <w:sz w:val="24"/>
                <w:szCs w:val="24"/>
                <w:highlight w:val="white"/>
                <w:lang w:eastAsia="zh-CN" w:bidi="hi-IN"/>
              </w:rPr>
              <w:t>.</w:t>
            </w:r>
          </w:p>
          <w:p>
            <w:pPr>
              <w:pStyle w:val="Normal"/>
              <w:widowControl w:val="false"/>
              <w:tabs>
                <w:tab w:val="left" w:pos="720" w:leader="none"/>
              </w:tabs>
              <w:suppressAutoHyphens w:val="true"/>
              <w:spacing w:lineRule="exact" w:line="240" w:before="0" w:after="0"/>
              <w:rPr>
                <w:rFonts w:ascii="Arial" w:hAnsi="Arial" w:eastAsia="Arial" w:cs="Arial"/>
                <w:color w:val="00000A"/>
                <w:sz w:val="24"/>
                <w:szCs w:val="24"/>
                <w:shd w:fill="FFFFFF" w:val="clear"/>
                <w:lang w:eastAsia="zh-CN" w:bidi="hi-IN"/>
              </w:rPr>
            </w:pPr>
            <w:r>
              <w:rPr>
                <w:rFonts w:eastAsia="Arial" w:cs="Arial" w:ascii="Arial" w:hAnsi="Arial"/>
                <w:color w:val="00000A"/>
                <w:sz w:val="24"/>
                <w:szCs w:val="24"/>
                <w:shd w:fill="FFFFFF" w:val="clear"/>
                <w:lang w:eastAsia="zh-CN" w:bidi="hi-IN"/>
              </w:rPr>
            </w:r>
          </w:p>
        </w:tc>
        <w:tc>
          <w:tcPr>
            <w:tcW w:w="229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color w:val="00000A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  <w:t>D5</w:t>
            </w:r>
          </w:p>
        </w:tc>
      </w:tr>
      <w:tr>
        <w:trPr/>
        <w:tc>
          <w:tcPr>
            <w:tcW w:w="6344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left" w:pos="720" w:leader="none"/>
              </w:tabs>
              <w:suppressAutoHyphens w:val="true"/>
              <w:spacing w:lineRule="exact" w:line="240" w:before="0" w:after="0"/>
              <w:rPr/>
            </w:pPr>
            <w:r>
              <w:rPr>
                <w:rFonts w:eastAsia="Arial" w:cs="Arial" w:ascii="Arial" w:hAnsi="Arial"/>
                <w:color w:val="00000A"/>
                <w:sz w:val="24"/>
                <w:szCs w:val="24"/>
                <w:shd w:fill="FFFFFF" w:val="clear"/>
                <w:lang w:eastAsia="zh-CN" w:bidi="hi-IN"/>
              </w:rPr>
              <w:t>Desmotivação de técnicos</w:t>
            </w:r>
            <w:r>
              <w:rPr>
                <w:rFonts w:eastAsia="Arial" w:cs="Arial" w:ascii="Arial" w:hAnsi="Arial"/>
                <w:color w:val="00000A"/>
                <w:sz w:val="24"/>
                <w:szCs w:val="24"/>
                <w:highlight w:val="white"/>
                <w:lang w:eastAsia="zh-CN" w:bidi="hi-IN"/>
              </w:rPr>
              <w:t>.</w:t>
            </w:r>
          </w:p>
          <w:p>
            <w:pPr>
              <w:pStyle w:val="Normal"/>
              <w:widowControl w:val="false"/>
              <w:tabs>
                <w:tab w:val="left" w:pos="720" w:leader="none"/>
              </w:tabs>
              <w:suppressAutoHyphens w:val="true"/>
              <w:spacing w:lineRule="exact" w:line="240" w:before="0" w:after="0"/>
              <w:rPr>
                <w:rFonts w:ascii="Arial" w:hAnsi="Arial" w:eastAsia="Arial" w:cs="Arial"/>
                <w:color w:val="00000A"/>
                <w:sz w:val="24"/>
                <w:szCs w:val="24"/>
                <w:shd w:fill="FFFFFF" w:val="clear"/>
                <w:lang w:eastAsia="zh-CN" w:bidi="hi-IN"/>
              </w:rPr>
            </w:pPr>
            <w:r>
              <w:rPr>
                <w:rFonts w:eastAsia="Arial" w:cs="Arial" w:ascii="Arial" w:hAnsi="Arial"/>
                <w:color w:val="00000A"/>
                <w:sz w:val="24"/>
                <w:szCs w:val="24"/>
                <w:shd w:fill="FFFFFF" w:val="clear"/>
                <w:lang w:eastAsia="zh-CN" w:bidi="hi-IN"/>
              </w:rPr>
            </w:r>
          </w:p>
        </w:tc>
        <w:tc>
          <w:tcPr>
            <w:tcW w:w="229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color w:val="00000A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  <w:t>D5</w:t>
            </w:r>
          </w:p>
        </w:tc>
      </w:tr>
      <w:tr>
        <w:trPr/>
        <w:tc>
          <w:tcPr>
            <w:tcW w:w="6344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left" w:pos="720" w:leader="none"/>
              </w:tabs>
              <w:suppressAutoHyphens w:val="true"/>
              <w:spacing w:lineRule="exact" w:line="240" w:before="0" w:after="0"/>
              <w:rPr/>
            </w:pPr>
            <w:r>
              <w:rPr>
                <w:rFonts w:eastAsia="Arial" w:cs="Arial" w:ascii="Arial" w:hAnsi="Arial"/>
                <w:color w:val="00000A"/>
                <w:sz w:val="24"/>
                <w:szCs w:val="24"/>
                <w:shd w:fill="FFFFFF" w:val="clear"/>
                <w:lang w:eastAsia="zh-CN" w:bidi="hi-IN"/>
              </w:rPr>
              <w:t>Falta de investimento em instrumentos de pesquisa qualitativos</w:t>
            </w:r>
            <w:r>
              <w:rPr>
                <w:rFonts w:eastAsia="Arial" w:cs="Arial" w:ascii="Arial" w:hAnsi="Arial"/>
                <w:color w:val="00000A"/>
                <w:sz w:val="24"/>
                <w:szCs w:val="24"/>
                <w:highlight w:val="white"/>
                <w:lang w:eastAsia="zh-CN" w:bidi="hi-IN"/>
              </w:rPr>
              <w:t>.</w:t>
            </w:r>
          </w:p>
          <w:p>
            <w:pPr>
              <w:pStyle w:val="Normal"/>
              <w:widowControl w:val="false"/>
              <w:tabs>
                <w:tab w:val="left" w:pos="720" w:leader="none"/>
              </w:tabs>
              <w:suppressAutoHyphens w:val="true"/>
              <w:spacing w:lineRule="exact" w:line="240" w:before="0" w:after="0"/>
              <w:ind w:left="720" w:hanging="0"/>
              <w:rPr>
                <w:rFonts w:ascii="Arial" w:hAnsi="Arial" w:eastAsia="Arial" w:cs="Arial"/>
                <w:color w:val="00000A"/>
                <w:sz w:val="24"/>
                <w:szCs w:val="24"/>
                <w:shd w:fill="FFFFFF" w:val="clear"/>
                <w:lang w:eastAsia="zh-CN" w:bidi="hi-IN"/>
              </w:rPr>
            </w:pPr>
            <w:r>
              <w:rPr>
                <w:rFonts w:eastAsia="Arial" w:cs="Arial" w:ascii="Arial" w:hAnsi="Arial"/>
                <w:color w:val="00000A"/>
                <w:sz w:val="24"/>
                <w:szCs w:val="24"/>
                <w:shd w:fill="FFFFFF" w:val="clear"/>
                <w:lang w:eastAsia="zh-CN" w:bidi="hi-IN"/>
              </w:rPr>
            </w:r>
          </w:p>
        </w:tc>
        <w:tc>
          <w:tcPr>
            <w:tcW w:w="229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color w:val="00000A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  <w:t>D1, D2, D4</w:t>
            </w:r>
          </w:p>
        </w:tc>
      </w:tr>
      <w:tr>
        <w:trPr/>
        <w:tc>
          <w:tcPr>
            <w:tcW w:w="6344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left" w:pos="720" w:leader="none"/>
              </w:tabs>
              <w:suppressAutoHyphens w:val="true"/>
              <w:spacing w:lineRule="exact" w:line="240" w:before="0" w:after="0"/>
              <w:rPr/>
            </w:pPr>
            <w:r>
              <w:rPr>
                <w:rFonts w:eastAsia="Arial" w:cs="Arial" w:ascii="Arial" w:hAnsi="Arial"/>
                <w:color w:val="00000A"/>
                <w:sz w:val="24"/>
                <w:szCs w:val="24"/>
                <w:shd w:fill="FFFFFF" w:val="clear"/>
                <w:lang w:eastAsia="zh-CN" w:bidi="hi-IN"/>
              </w:rPr>
              <w:t>Ações individuais que não se tornam projetos coletivos ou de centro</w:t>
            </w:r>
            <w:r>
              <w:rPr>
                <w:rFonts w:eastAsia="Arial" w:cs="Arial" w:ascii="Arial" w:hAnsi="Arial"/>
                <w:color w:val="00000A"/>
                <w:sz w:val="24"/>
                <w:szCs w:val="24"/>
                <w:highlight w:val="white"/>
                <w:lang w:eastAsia="zh-CN" w:bidi="hi-IN"/>
              </w:rPr>
              <w:t>.</w:t>
            </w:r>
          </w:p>
          <w:p>
            <w:pPr>
              <w:pStyle w:val="Normal"/>
              <w:widowControl w:val="false"/>
              <w:tabs>
                <w:tab w:val="left" w:pos="720" w:leader="none"/>
              </w:tabs>
              <w:suppressAutoHyphens w:val="true"/>
              <w:spacing w:lineRule="exact" w:line="240" w:before="0" w:after="0"/>
              <w:ind w:left="720" w:hanging="0"/>
              <w:rPr>
                <w:rFonts w:ascii="Arial" w:hAnsi="Arial" w:eastAsia="Arial" w:cs="Arial"/>
                <w:color w:val="00000A"/>
                <w:sz w:val="24"/>
                <w:szCs w:val="24"/>
                <w:shd w:fill="FFFFFF" w:val="clear"/>
                <w:lang w:eastAsia="zh-CN" w:bidi="hi-IN"/>
              </w:rPr>
            </w:pPr>
            <w:r>
              <w:rPr>
                <w:rFonts w:eastAsia="Arial" w:cs="Arial" w:ascii="Arial" w:hAnsi="Arial"/>
                <w:color w:val="00000A"/>
                <w:sz w:val="24"/>
                <w:szCs w:val="24"/>
                <w:shd w:fill="FFFFFF" w:val="clear"/>
                <w:lang w:eastAsia="zh-CN" w:bidi="hi-IN"/>
              </w:rPr>
            </w:r>
          </w:p>
        </w:tc>
        <w:tc>
          <w:tcPr>
            <w:tcW w:w="229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color w:val="00000A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  <w:t xml:space="preserve">D5, </w:t>
            </w:r>
          </w:p>
        </w:tc>
      </w:tr>
      <w:tr>
        <w:trPr/>
        <w:tc>
          <w:tcPr>
            <w:tcW w:w="6344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left" w:pos="720" w:leader="none"/>
              </w:tabs>
              <w:suppressAutoHyphens w:val="true"/>
              <w:spacing w:lineRule="exact" w:line="240" w:before="0" w:after="0"/>
              <w:rPr>
                <w:color w:val="00000A"/>
              </w:rPr>
            </w:pPr>
            <w:r>
              <w:rPr>
                <w:rFonts w:eastAsia="Arial" w:cs="Arial" w:ascii="Arial" w:hAnsi="Arial"/>
                <w:color w:val="00000A"/>
                <w:sz w:val="24"/>
                <w:szCs w:val="24"/>
                <w:shd w:fill="FFFFFF" w:val="clear"/>
                <w:lang w:eastAsia="zh-CN" w:bidi="hi-IN"/>
              </w:rPr>
              <w:t xml:space="preserve">Dificuldade nas relações interpessoais. </w:t>
            </w:r>
          </w:p>
          <w:p>
            <w:pPr>
              <w:pStyle w:val="Normal"/>
              <w:widowControl w:val="false"/>
              <w:tabs>
                <w:tab w:val="left" w:pos="720" w:leader="none"/>
              </w:tabs>
              <w:suppressAutoHyphens w:val="true"/>
              <w:spacing w:lineRule="exact" w:line="240" w:before="0" w:after="0"/>
              <w:ind w:left="720" w:hanging="0"/>
              <w:jc w:val="center"/>
              <w:rPr>
                <w:rFonts w:ascii="Arial" w:hAnsi="Arial" w:eastAsia="Arial" w:cs="Arial"/>
                <w:color w:val="00000A"/>
                <w:sz w:val="24"/>
                <w:szCs w:val="24"/>
                <w:shd w:fill="FFFFFF" w:val="clear"/>
                <w:lang w:eastAsia="zh-CN" w:bidi="hi-IN"/>
              </w:rPr>
            </w:pPr>
            <w:r>
              <w:rPr>
                <w:rFonts w:eastAsia="Arial" w:cs="Arial" w:ascii="Arial" w:hAnsi="Arial"/>
                <w:color w:val="00000A"/>
                <w:sz w:val="24"/>
                <w:szCs w:val="24"/>
                <w:shd w:fill="FFFFFF" w:val="clear"/>
                <w:lang w:eastAsia="zh-CN" w:bidi="hi-IN"/>
              </w:rPr>
            </w:r>
          </w:p>
        </w:tc>
        <w:tc>
          <w:tcPr>
            <w:tcW w:w="229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color w:val="00000A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  <w:t>D5,</w:t>
            </w:r>
          </w:p>
        </w:tc>
      </w:tr>
      <w:tr>
        <w:trPr/>
        <w:tc>
          <w:tcPr>
            <w:tcW w:w="6344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left" w:pos="720" w:leader="none"/>
              </w:tabs>
              <w:suppressAutoHyphens w:val="true"/>
              <w:spacing w:lineRule="exact" w:line="240" w:before="0" w:after="0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  <w:t>Buscar o estabelecimento de convênios de ensino, pesquisa e extensão a partir da participação em eventos internacionais, publicações, bancas, entre outros.</w:t>
            </w:r>
          </w:p>
          <w:p>
            <w:pPr>
              <w:pStyle w:val="Normal"/>
              <w:widowControl w:val="false"/>
              <w:tabs>
                <w:tab w:val="left" w:pos="720" w:leader="none"/>
              </w:tabs>
              <w:suppressAutoHyphens w:val="true"/>
              <w:spacing w:lineRule="exact" w:line="240" w:before="0" w:after="0"/>
              <w:rPr>
                <w:color w:val="00000A"/>
              </w:rPr>
            </w:pPr>
            <w:r>
              <w:rPr>
                <w:color w:val="00000A"/>
              </w:rPr>
            </w:r>
          </w:p>
        </w:tc>
        <w:tc>
          <w:tcPr>
            <w:tcW w:w="229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color w:val="00000A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  <w:t>D1</w:t>
            </w:r>
          </w:p>
        </w:tc>
      </w:tr>
      <w:tr>
        <w:trPr/>
        <w:tc>
          <w:tcPr>
            <w:tcW w:w="6344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left" w:pos="720" w:leader="none"/>
              </w:tabs>
              <w:suppressAutoHyphens w:val="true"/>
              <w:spacing w:lineRule="exact" w:line="240" w:before="0" w:after="0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  <w:t>Incentivar a participação de alunos em cursos de idiomas.</w:t>
            </w:r>
          </w:p>
          <w:p>
            <w:pPr>
              <w:pStyle w:val="Normal"/>
              <w:widowControl w:val="false"/>
              <w:tabs>
                <w:tab w:val="left" w:pos="720" w:leader="none"/>
              </w:tabs>
              <w:suppressAutoHyphens w:val="true"/>
              <w:spacing w:lineRule="exact" w:line="240" w:before="0" w:after="0"/>
              <w:rPr>
                <w:color w:val="00000A"/>
              </w:rPr>
            </w:pPr>
            <w:r>
              <w:rPr>
                <w:color w:val="00000A"/>
              </w:rPr>
            </w:r>
          </w:p>
        </w:tc>
        <w:tc>
          <w:tcPr>
            <w:tcW w:w="229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color w:val="00000A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  <w:t>D1</w:t>
            </w:r>
          </w:p>
        </w:tc>
      </w:tr>
      <w:tr>
        <w:trPr/>
        <w:tc>
          <w:tcPr>
            <w:tcW w:w="6344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left" w:pos="720" w:leader="none"/>
              </w:tabs>
              <w:suppressAutoHyphens w:val="true"/>
              <w:spacing w:lineRule="exact" w:line="240" w:before="0" w:after="0"/>
              <w:rPr>
                <w:color w:val="00000A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  <w:t>Estimular e capacitar docentes para participar de editais de fomentos nacional e internacional.</w:t>
            </w:r>
          </w:p>
        </w:tc>
        <w:tc>
          <w:tcPr>
            <w:tcW w:w="229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color w:val="00000A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  <w:t>D1</w:t>
            </w:r>
          </w:p>
        </w:tc>
      </w:tr>
    </w:tbl>
    <w:p>
      <w:pPr>
        <w:pStyle w:val="Normal"/>
        <w:widowControl w:val="false"/>
        <w:tabs>
          <w:tab w:val="left" w:pos="720" w:leader="none"/>
        </w:tabs>
        <w:suppressAutoHyphens w:val="true"/>
        <w:spacing w:lineRule="exact" w:line="240"/>
        <w:jc w:val="both"/>
        <w:rPr>
          <w:rFonts w:ascii="Arial" w:hAnsi="Arial" w:cs="Arial"/>
          <w:color w:val="00000A"/>
          <w:sz w:val="24"/>
          <w:szCs w:val="24"/>
        </w:rPr>
      </w:pPr>
      <w:r>
        <w:rPr>
          <w:rFonts w:cs="Arial" w:ascii="Arial" w:hAnsi="Arial"/>
          <w:color w:val="00000A"/>
          <w:sz w:val="24"/>
          <w:szCs w:val="24"/>
        </w:rPr>
      </w:r>
    </w:p>
    <w:p>
      <w:pPr>
        <w:pStyle w:val="Normal"/>
        <w:widowControl w:val="false"/>
        <w:tabs>
          <w:tab w:val="left" w:pos="720" w:leader="none"/>
        </w:tabs>
        <w:suppressAutoHyphens w:val="true"/>
        <w:spacing w:lineRule="exact" w:line="240"/>
        <w:jc w:val="both"/>
        <w:rPr>
          <w:rFonts w:ascii="Arial" w:hAnsi="Arial" w:cs="Arial"/>
          <w:color w:val="00000A"/>
          <w:sz w:val="24"/>
          <w:szCs w:val="24"/>
        </w:rPr>
      </w:pPr>
      <w:r>
        <w:rPr>
          <w:rFonts w:cs="Arial" w:ascii="Arial" w:hAnsi="Arial"/>
          <w:color w:val="00000A"/>
          <w:sz w:val="24"/>
          <w:szCs w:val="24"/>
        </w:rPr>
      </w:r>
    </w:p>
    <w:p>
      <w:pPr>
        <w:pStyle w:val="Normal"/>
        <w:rPr>
          <w:rFonts w:ascii="Arial" w:hAnsi="Arial" w:cs="Arial"/>
          <w:color w:val="00000A"/>
          <w:sz w:val="24"/>
          <w:szCs w:val="24"/>
        </w:rPr>
      </w:pPr>
      <w:r>
        <w:rPr>
          <w:rFonts w:cs="Arial" w:ascii="Arial" w:hAnsi="Arial"/>
          <w:b/>
          <w:color w:val="00000A"/>
          <w:sz w:val="24"/>
          <w:szCs w:val="24"/>
        </w:rPr>
        <w:t>Quadro 4</w:t>
      </w:r>
      <w:r>
        <w:rPr>
          <w:rFonts w:cs="Arial" w:ascii="Arial" w:hAnsi="Arial"/>
          <w:color w:val="00000A"/>
          <w:sz w:val="24"/>
          <w:szCs w:val="24"/>
        </w:rPr>
        <w:t xml:space="preserve"> – </w:t>
      </w:r>
      <w:r>
        <w:rPr>
          <w:rFonts w:cs="Arial" w:ascii="Arial" w:hAnsi="Arial"/>
          <w:color w:val="00000A"/>
          <w:sz w:val="24"/>
          <w:szCs w:val="24"/>
          <w:u w:val="single"/>
        </w:rPr>
        <w:t>Ameaças</w:t>
      </w:r>
      <w:r>
        <w:rPr>
          <w:rFonts w:cs="Arial" w:ascii="Arial" w:hAnsi="Arial"/>
          <w:color w:val="00000A"/>
          <w:sz w:val="24"/>
          <w:szCs w:val="24"/>
        </w:rPr>
        <w:t xml:space="preserve"> do CEFD vinculadas aos Desafios Institucionais</w:t>
      </w:r>
    </w:p>
    <w:p>
      <w:pPr>
        <w:pStyle w:val="Normal"/>
        <w:rPr>
          <w:rFonts w:ascii="Arial" w:hAnsi="Arial" w:cs="Arial"/>
          <w:color w:val="00000A"/>
          <w:sz w:val="24"/>
          <w:szCs w:val="24"/>
        </w:rPr>
      </w:pPr>
      <w:r>
        <w:rPr>
          <w:rFonts w:cs="Arial" w:ascii="Arial" w:hAnsi="Arial"/>
          <w:color w:val="00000A"/>
          <w:sz w:val="24"/>
          <w:szCs w:val="24"/>
        </w:rPr>
      </w:r>
    </w:p>
    <w:p>
      <w:pPr>
        <w:pStyle w:val="Normal"/>
        <w:rPr>
          <w:color w:val="00000A"/>
        </w:rPr>
      </w:pPr>
      <w:r>
        <w:rPr>
          <w:color w:val="00000A"/>
        </w:rPr>
      </w:r>
    </w:p>
    <w:tbl>
      <w:tblPr>
        <w:tblW w:w="872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281"/>
        <w:gridCol w:w="2438"/>
      </w:tblGrid>
      <w:tr>
        <w:trPr/>
        <w:tc>
          <w:tcPr>
            <w:tcW w:w="628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  <w:t>AMEAÇAS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A"/>
              </w:rPr>
            </w:pPr>
            <w:r>
              <w:rPr>
                <w:color w:val="00000A"/>
              </w:rPr>
            </w:r>
          </w:p>
        </w:tc>
        <w:tc>
          <w:tcPr>
            <w:tcW w:w="243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A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  <w:t>DESAFIO</w:t>
            </w:r>
          </w:p>
        </w:tc>
      </w:tr>
      <w:tr>
        <w:trPr/>
        <w:tc>
          <w:tcPr>
            <w:tcW w:w="628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color w:val="00000A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  <w:t>Baixa disponibilidade ou de recursos financeiros</w:t>
            </w:r>
          </w:p>
        </w:tc>
        <w:tc>
          <w:tcPr>
            <w:tcW w:w="243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  <w:t>D2, D4, D5</w:t>
            </w:r>
          </w:p>
          <w:p>
            <w:pPr>
              <w:pStyle w:val="Normal"/>
              <w:spacing w:lineRule="auto" w:line="240" w:before="0" w:after="0"/>
              <w:rPr>
                <w:color w:val="00000A"/>
              </w:rPr>
            </w:pPr>
            <w:r>
              <w:rPr>
                <w:color w:val="00000A"/>
              </w:rPr>
            </w:r>
          </w:p>
        </w:tc>
      </w:tr>
      <w:tr>
        <w:trPr/>
        <w:tc>
          <w:tcPr>
            <w:tcW w:w="628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  <w:t xml:space="preserve">Dificuldade de acesso aos serviços de manutenção de espaços e materiais (PROINFRA) </w:t>
            </w:r>
          </w:p>
          <w:p>
            <w:pPr>
              <w:pStyle w:val="Normal"/>
              <w:spacing w:lineRule="auto" w:line="240" w:before="0" w:after="0"/>
              <w:rPr>
                <w:color w:val="00000A"/>
              </w:rPr>
            </w:pPr>
            <w:r>
              <w:rPr>
                <w:color w:val="00000A"/>
              </w:rPr>
            </w:r>
          </w:p>
        </w:tc>
        <w:tc>
          <w:tcPr>
            <w:tcW w:w="243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color w:val="00000A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  <w:t>D5</w:t>
            </w:r>
          </w:p>
        </w:tc>
      </w:tr>
      <w:tr>
        <w:trPr/>
        <w:tc>
          <w:tcPr>
            <w:tcW w:w="628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color w:val="00000A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  <w:t>Falta de segurança aos finais de semana</w:t>
            </w:r>
          </w:p>
        </w:tc>
        <w:tc>
          <w:tcPr>
            <w:tcW w:w="243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1915" w:hanging="0"/>
              <w:rPr>
                <w:color w:val="00000A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  <w:t>D5</w:t>
            </w:r>
          </w:p>
        </w:tc>
      </w:tr>
      <w:tr>
        <w:trPr/>
        <w:tc>
          <w:tcPr>
            <w:tcW w:w="628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  <w:t>Ociosidade à noite.</w:t>
            </w:r>
          </w:p>
          <w:p>
            <w:pPr>
              <w:pStyle w:val="Normal"/>
              <w:spacing w:lineRule="auto" w:line="240" w:before="0" w:after="0"/>
              <w:rPr>
                <w:color w:val="00000A"/>
              </w:rPr>
            </w:pPr>
            <w:r>
              <w:rPr>
                <w:color w:val="00000A"/>
              </w:rPr>
            </w:r>
          </w:p>
        </w:tc>
        <w:tc>
          <w:tcPr>
            <w:tcW w:w="243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1915" w:hanging="0"/>
              <w:rPr>
                <w:color w:val="00000A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  <w:t>D5</w:t>
            </w:r>
          </w:p>
        </w:tc>
      </w:tr>
      <w:tr>
        <w:trPr/>
        <w:tc>
          <w:tcPr>
            <w:tcW w:w="628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  <w:t>Planejamento de Gestão e não de Estado.</w:t>
            </w:r>
          </w:p>
          <w:p>
            <w:pPr>
              <w:pStyle w:val="Normal"/>
              <w:spacing w:lineRule="auto" w:line="240" w:before="0" w:after="0"/>
              <w:rPr>
                <w:color w:val="00000A"/>
              </w:rPr>
            </w:pPr>
            <w:r>
              <w:rPr>
                <w:color w:val="00000A"/>
              </w:rPr>
            </w:r>
          </w:p>
        </w:tc>
        <w:tc>
          <w:tcPr>
            <w:tcW w:w="243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color w:val="00000A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  <w:t>D2, D5</w:t>
            </w:r>
          </w:p>
        </w:tc>
      </w:tr>
      <w:tr>
        <w:trPr/>
        <w:tc>
          <w:tcPr>
            <w:tcW w:w="628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  <w:t>Falta de planejamento e transparência na distribuição de espaços, valores e vagas docentes.</w:t>
            </w:r>
          </w:p>
          <w:p>
            <w:pPr>
              <w:pStyle w:val="Normal"/>
              <w:spacing w:lineRule="auto" w:line="240" w:before="0" w:after="0"/>
              <w:rPr>
                <w:color w:val="00000A"/>
              </w:rPr>
            </w:pPr>
            <w:r>
              <w:rPr>
                <w:color w:val="00000A"/>
              </w:rPr>
            </w:r>
          </w:p>
        </w:tc>
        <w:tc>
          <w:tcPr>
            <w:tcW w:w="243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color w:val="00000A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  <w:t>D2, D5</w:t>
            </w:r>
          </w:p>
        </w:tc>
      </w:tr>
      <w:tr>
        <w:trPr/>
        <w:tc>
          <w:tcPr>
            <w:tcW w:w="628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  <w:t>Cultura de comodismo do serviço público.</w:t>
            </w:r>
          </w:p>
          <w:p>
            <w:pPr>
              <w:pStyle w:val="Normal"/>
              <w:spacing w:lineRule="auto" w:line="240" w:before="0" w:after="0"/>
              <w:rPr>
                <w:color w:val="00000A"/>
              </w:rPr>
            </w:pPr>
            <w:r>
              <w:rPr>
                <w:color w:val="00000A"/>
              </w:rPr>
            </w:r>
          </w:p>
        </w:tc>
        <w:tc>
          <w:tcPr>
            <w:tcW w:w="243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color w:val="00000A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  <w:t>D2, D4, D5</w:t>
            </w:r>
          </w:p>
        </w:tc>
      </w:tr>
      <w:tr>
        <w:trPr/>
        <w:tc>
          <w:tcPr>
            <w:tcW w:w="628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color w:val="00000A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  <w:t>Distância dos grandes centros onde ocorrem eventos e competições de alto nível</w:t>
            </w:r>
          </w:p>
        </w:tc>
        <w:tc>
          <w:tcPr>
            <w:tcW w:w="243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color w:val="00000A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  <w:t>D6</w:t>
            </w:r>
          </w:p>
        </w:tc>
      </w:tr>
      <w:tr>
        <w:trPr/>
        <w:tc>
          <w:tcPr>
            <w:tcW w:w="628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</w:r>
          </w:p>
        </w:tc>
        <w:tc>
          <w:tcPr>
            <w:tcW w:w="243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</w:r>
          </w:p>
        </w:tc>
      </w:tr>
      <w:tr>
        <w:trPr/>
        <w:tc>
          <w:tcPr>
            <w:tcW w:w="628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</w:r>
          </w:p>
        </w:tc>
        <w:tc>
          <w:tcPr>
            <w:tcW w:w="243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</w:r>
          </w:p>
        </w:tc>
      </w:tr>
    </w:tbl>
    <w:p>
      <w:pPr>
        <w:pStyle w:val="Normal"/>
        <w:widowControl w:val="false"/>
        <w:tabs>
          <w:tab w:val="left" w:pos="720" w:leader="none"/>
        </w:tabs>
        <w:suppressAutoHyphens w:val="true"/>
        <w:spacing w:lineRule="exact" w:line="240"/>
        <w:jc w:val="both"/>
        <w:rPr>
          <w:rFonts w:ascii="Arial" w:hAnsi="Arial" w:cs="Arial"/>
          <w:color w:val="00000A"/>
          <w:sz w:val="24"/>
          <w:szCs w:val="24"/>
        </w:rPr>
      </w:pPr>
      <w:r>
        <w:rPr>
          <w:rFonts w:cs="Arial" w:ascii="Arial" w:hAnsi="Arial"/>
          <w:color w:val="00000A"/>
          <w:sz w:val="24"/>
          <w:szCs w:val="24"/>
        </w:rPr>
      </w:r>
    </w:p>
    <w:p>
      <w:pPr>
        <w:pStyle w:val="Normal"/>
        <w:widowControl w:val="false"/>
        <w:tabs>
          <w:tab w:val="left" w:pos="720" w:leader="none"/>
        </w:tabs>
        <w:suppressAutoHyphens w:val="true"/>
        <w:spacing w:lineRule="exact" w:line="240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cs="Arial" w:ascii="Arial" w:hAnsi="Arial"/>
          <w:color w:val="FF0000"/>
          <w:sz w:val="24"/>
          <w:szCs w:val="24"/>
        </w:rPr>
      </w:r>
    </w:p>
    <w:p>
      <w:pPr>
        <w:pStyle w:val="Normal"/>
        <w:widowControl w:val="false"/>
        <w:tabs>
          <w:tab w:val="left" w:pos="720" w:leader="none"/>
        </w:tabs>
        <w:suppressAutoHyphens w:val="true"/>
        <w:spacing w:lineRule="exact" w:line="2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2.3  </w:t>
      </w:r>
      <w:r>
        <w:rPr>
          <w:rFonts w:cs="Arial" w:ascii="Arial" w:hAnsi="Arial"/>
          <w:b/>
          <w:bCs/>
          <w:color w:val="000000"/>
          <w:sz w:val="24"/>
          <w:szCs w:val="24"/>
        </w:rPr>
        <w:t>TERCEIRA FASE - Definição dos objetivos</w:t>
      </w:r>
    </w:p>
    <w:p>
      <w:pPr>
        <w:pStyle w:val="Normal"/>
        <w:widowControl w:val="false"/>
        <w:tabs>
          <w:tab w:val="left" w:pos="720" w:leader="none"/>
        </w:tabs>
        <w:suppressAutoHyphens w:val="true"/>
        <w:spacing w:lineRule="exact" w:line="240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cs="Arial" w:ascii="Arial" w:hAnsi="Arial"/>
          <w:color w:val="FF0000"/>
          <w:sz w:val="24"/>
          <w:szCs w:val="24"/>
        </w:rPr>
      </w:r>
    </w:p>
    <w:p>
      <w:pPr>
        <w:pStyle w:val="Normal"/>
        <w:widowControl w:val="false"/>
        <w:tabs>
          <w:tab w:val="left" w:pos="720" w:leader="none"/>
        </w:tabs>
        <w:suppressAutoHyphens w:val="true"/>
        <w:spacing w:lineRule="auto" w:line="360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cs="Arial" w:ascii="Arial" w:hAnsi="Arial"/>
          <w:color w:val="FF0000"/>
          <w:sz w:val="24"/>
          <w:szCs w:val="24"/>
        </w:rPr>
        <w:tab/>
      </w:r>
      <w:r>
        <w:rPr>
          <w:rFonts w:cs="Arial" w:ascii="Arial" w:hAnsi="Arial"/>
          <w:color w:val="000000"/>
          <w:sz w:val="24"/>
          <w:szCs w:val="24"/>
        </w:rPr>
        <w:t>Dando prosseguimento à metodologia adotada, a comissão solicitou a todas as subunidades e setores do CEFD, e suas respectivas chefias, sugestões de objetivos de acordo com os setes Desafios institucionais da UFSM. Neste sentido, cada setor do CEFD se reuniu e discutiu sobre suas prioridades, limites e possibilidades de atuação. A comissão estabeleceu o prazo para o envio dos objetivos de cada subunidade, de 10 a 24 de maio de 2019. Os setores que enviaram seus objetivos e prioridades foram: Núcleo e Divulgação Institucional (NDI); Mestrado em Gerontologia; Núcleo de Execução e Controle Orçamentário (NUECO); Departamentos Didáticos e Gabinete de Projetos (GAP).</w:t>
      </w:r>
    </w:p>
    <w:p>
      <w:pPr>
        <w:pStyle w:val="Normal"/>
        <w:widowControl w:val="false"/>
        <w:tabs>
          <w:tab w:val="left" w:pos="720" w:leader="none"/>
        </w:tabs>
        <w:suppressAutoHyphens w:val="true"/>
        <w:spacing w:lineRule="exact" w:line="240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ab/>
      </w:r>
    </w:p>
    <w:p>
      <w:pPr>
        <w:pStyle w:val="Normal"/>
        <w:widowControl w:val="false"/>
        <w:tabs>
          <w:tab w:val="left" w:pos="720" w:leader="none"/>
        </w:tabs>
        <w:suppressAutoHyphens w:val="true"/>
        <w:spacing w:lineRule="exact" w:line="2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2.3.1 Priorização dos objetivos</w:t>
      </w:r>
    </w:p>
    <w:p>
      <w:pPr>
        <w:pStyle w:val="Normal"/>
        <w:widowControl w:val="false"/>
        <w:tabs>
          <w:tab w:val="left" w:pos="720" w:leader="none"/>
        </w:tabs>
        <w:suppressAutoHyphens w:val="true"/>
        <w:spacing w:lineRule="exact" w:line="2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widowControl w:val="false"/>
        <w:tabs>
          <w:tab w:val="left" w:pos="720" w:leader="none"/>
        </w:tabs>
        <w:suppressAutoHyphens w:val="true"/>
        <w:spacing w:lineRule="auto" w:line="360"/>
        <w:jc w:val="both"/>
        <w:rPr/>
      </w:pPr>
      <w:r>
        <w:rPr>
          <w:rFonts w:cs="Arial" w:ascii="Arial" w:hAnsi="Arial"/>
          <w:color w:val="000000"/>
          <w:sz w:val="24"/>
          <w:szCs w:val="24"/>
        </w:rPr>
        <w:tab/>
        <w:t>Após receber os objetivos enviados das subunidades, a comissão passou a compilar os dados para a realização de consulta on-line. Para esta etapa foi criado um instrumento on-line contendo todos os objetivos propostos tanto pela Comissão como pelo envio das subunidades. A Comissão também entrou em contato com o Centro de Processamento de Dados (CPD) para viabilizar o envio do questionário on-line para toda a comunidade do CEFD, ou seja, para todos os alunos matriculados da graduação e da Pós-graduação, para os técnicos e para os docentes. Assim, a comunidade acadêmica foi chamada a priorizar 5 objetivos principais entre todos os elencados em cada Desafio Institucional. A consulta on-line ficou disponível a toda a comunidade acadêmica de 1 a 14 de julho de 2019.</w:t>
      </w:r>
    </w:p>
    <w:p>
      <w:pPr>
        <w:pStyle w:val="Normal"/>
        <w:widowControl w:val="false"/>
        <w:tabs>
          <w:tab w:val="left" w:pos="720" w:leader="none"/>
        </w:tabs>
        <w:suppressAutoHyphens w:val="true"/>
        <w:spacing w:lineRule="auto" w:line="3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ab/>
        <w:t>A seguir apresentam-se os objetivos propostos pela Comissão e pelas subunidades do CEFD.</w:t>
      </w:r>
    </w:p>
    <w:p>
      <w:pPr>
        <w:pStyle w:val="Normal"/>
        <w:widowControl w:val="false"/>
        <w:tabs>
          <w:tab w:val="left" w:pos="720" w:leader="none"/>
        </w:tabs>
        <w:suppressAutoHyphens w:val="true"/>
        <w:spacing w:lineRule="exact" w:line="2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widowControl w:val="false"/>
        <w:tabs>
          <w:tab w:val="left" w:pos="720" w:leader="none"/>
        </w:tabs>
        <w:suppressAutoHyphens w:val="true"/>
        <w:spacing w:lineRule="exact" w:line="2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widowControl w:val="false"/>
        <w:tabs>
          <w:tab w:val="left" w:pos="720" w:leader="none"/>
        </w:tabs>
        <w:suppressAutoHyphens w:val="true"/>
        <w:spacing w:lineRule="exact" w:line="240"/>
        <w:jc w:val="both"/>
        <w:rPr>
          <w:rFonts w:ascii="Arial" w:hAnsi="Arial" w:cs="Arial"/>
          <w:b/>
          <w:b/>
          <w:bCs/>
          <w:color w:val="000000"/>
          <w:sz w:val="24"/>
          <w:szCs w:val="24"/>
        </w:rPr>
      </w:pPr>
      <w:r>
        <w:rPr>
          <w:rFonts w:cs="Arial" w:ascii="Arial" w:hAnsi="Arial"/>
          <w:b/>
          <w:bCs/>
          <w:color w:val="000000"/>
          <w:sz w:val="24"/>
          <w:szCs w:val="24"/>
        </w:rPr>
        <w:t>2.3.2 Internacionalização (D1)</w:t>
      </w:r>
    </w:p>
    <w:p>
      <w:pPr>
        <w:pStyle w:val="Normal"/>
        <w:widowControl w:val="false"/>
        <w:tabs>
          <w:tab w:val="left" w:pos="720" w:leader="none"/>
        </w:tabs>
        <w:suppressAutoHyphens w:val="true"/>
        <w:spacing w:lineRule="exact" w:line="2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24"/>
          <w:szCs w:val="24"/>
        </w:rPr>
        <w:tab/>
      </w:r>
      <w:bookmarkStart w:id="2" w:name="__DdeLink__966_434242160"/>
      <w:r>
        <w:rPr>
          <w:rFonts w:cs="Arial" w:ascii="Arial" w:hAnsi="Arial"/>
          <w:sz w:val="24"/>
          <w:szCs w:val="24"/>
        </w:rPr>
        <w:t xml:space="preserve">Para a internacionalização foram propostos </w:t>
      </w:r>
      <w:bookmarkEnd w:id="2"/>
      <w:r>
        <w:rPr>
          <w:rFonts w:cs="Arial" w:ascii="Arial" w:hAnsi="Arial"/>
          <w:sz w:val="24"/>
          <w:szCs w:val="24"/>
        </w:rPr>
        <w:t>19 objetivos conforme abaixo.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color w:val="00000A"/>
        </w:rPr>
      </w:pPr>
      <w:r>
        <w:rPr>
          <w:rFonts w:cs="Arial" w:ascii="Arial" w:hAnsi="Arial"/>
          <w:color w:val="00000A"/>
          <w:sz w:val="24"/>
          <w:szCs w:val="24"/>
        </w:rPr>
        <w:t xml:space="preserve">1) Fomentar as práticas esportivas vinculadas ao CEFD oportunizando a participação em eventos internacionais. </w:t>
      </w:r>
    </w:p>
    <w:p>
      <w:pPr>
        <w:pStyle w:val="Normal"/>
        <w:jc w:val="both"/>
        <w:rPr>
          <w:color w:val="00000A"/>
        </w:rPr>
      </w:pPr>
      <w:r>
        <w:rPr>
          <w:rFonts w:cs="Arial" w:ascii="Arial" w:hAnsi="Arial"/>
          <w:color w:val="00000A"/>
          <w:sz w:val="24"/>
          <w:szCs w:val="24"/>
        </w:rPr>
        <w:t>2) Buscar o estabelecimento de convênios de ensino, pesquisa e extensão a partir da participação em eventos internacionais, publicações, bancas, entre outros.</w:t>
      </w:r>
    </w:p>
    <w:p>
      <w:pPr>
        <w:pStyle w:val="Normal"/>
        <w:jc w:val="both"/>
        <w:rPr>
          <w:color w:val="00000A"/>
        </w:rPr>
      </w:pPr>
      <w:r>
        <w:rPr>
          <w:rFonts w:cs="Arial" w:ascii="Arial" w:hAnsi="Arial"/>
          <w:color w:val="00000A"/>
          <w:sz w:val="24"/>
          <w:szCs w:val="24"/>
        </w:rPr>
        <w:t>3) Promover atividades de interação com a SAI visando divulgação .</w:t>
      </w:r>
    </w:p>
    <w:p>
      <w:pPr>
        <w:pStyle w:val="Normal"/>
        <w:jc w:val="both"/>
        <w:rPr>
          <w:color w:val="00000A"/>
        </w:rPr>
      </w:pPr>
      <w:r>
        <w:rPr>
          <w:rFonts w:cs="Arial" w:ascii="Arial" w:hAnsi="Arial"/>
          <w:color w:val="00000A"/>
          <w:sz w:val="24"/>
          <w:szCs w:val="24"/>
        </w:rPr>
        <w:t>4) Estimular a qualificação e formação continuada de alunos, docentes e técnicos em Programas no exterior.</w:t>
      </w:r>
    </w:p>
    <w:p>
      <w:pPr>
        <w:pStyle w:val="Normal"/>
        <w:jc w:val="both"/>
        <w:rPr>
          <w:color w:val="00000A"/>
        </w:rPr>
      </w:pPr>
      <w:r>
        <w:rPr>
          <w:rFonts w:cs="Arial" w:ascii="Arial" w:hAnsi="Arial"/>
          <w:color w:val="00000A"/>
          <w:sz w:val="24"/>
          <w:szCs w:val="24"/>
        </w:rPr>
        <w:t>5) Fomentar a inserção da internacionalização nos projetos político-pedagógicos dos cursos de graduação.</w:t>
      </w:r>
    </w:p>
    <w:p>
      <w:pPr>
        <w:pStyle w:val="Normal"/>
        <w:jc w:val="both"/>
        <w:rPr>
          <w:color w:val="00000A"/>
        </w:rPr>
      </w:pPr>
      <w:r>
        <w:rPr>
          <w:rFonts w:cs="Arial" w:ascii="Arial" w:hAnsi="Arial"/>
          <w:color w:val="00000A"/>
          <w:sz w:val="24"/>
          <w:szCs w:val="24"/>
        </w:rPr>
        <w:t>6) Incentivar a participação de alunos em cursos de idiomas.</w:t>
      </w:r>
    </w:p>
    <w:p>
      <w:pPr>
        <w:pStyle w:val="Normal"/>
        <w:jc w:val="both"/>
        <w:rPr>
          <w:color w:val="00000A"/>
        </w:rPr>
      </w:pPr>
      <w:r>
        <w:rPr>
          <w:rFonts w:cs="Arial" w:ascii="Arial" w:hAnsi="Arial"/>
          <w:color w:val="00000A"/>
          <w:sz w:val="24"/>
          <w:szCs w:val="24"/>
        </w:rPr>
        <w:t>7) Estimular e capacitar docentes para participar de editais de fomentos nacional e internacional.</w:t>
      </w:r>
    </w:p>
    <w:p>
      <w:pPr>
        <w:pStyle w:val="Normal"/>
        <w:jc w:val="both"/>
        <w:rPr>
          <w:color w:val="00000A"/>
        </w:rPr>
      </w:pPr>
      <w:r>
        <w:rPr>
          <w:rFonts w:cs="Arial" w:ascii="Arial" w:hAnsi="Arial"/>
          <w:color w:val="00000A"/>
          <w:sz w:val="24"/>
          <w:szCs w:val="24"/>
        </w:rPr>
        <w:t>8) Buscar investimentos externos para viabilizar o financiamento de projetos</w:t>
      </w:r>
    </w:p>
    <w:p>
      <w:pPr>
        <w:pStyle w:val="Normal"/>
        <w:suppressAutoHyphens w:val="true"/>
        <w:spacing w:lineRule="auto" w:line="360" w:before="0" w:after="0"/>
        <w:jc w:val="both"/>
        <w:rPr>
          <w:color w:val="00000A"/>
        </w:rPr>
      </w:pPr>
      <w:r>
        <w:rPr>
          <w:rFonts w:eastAsia="SimSun" w:cs="Arial" w:ascii="Arial" w:hAnsi="Arial"/>
          <w:color w:val="00000A"/>
          <w:sz w:val="24"/>
          <w:szCs w:val="24"/>
          <w:lang w:eastAsia="zh-CN" w:bidi="hi-IN"/>
        </w:rPr>
        <w:t>9) Disponibilizar as versões em espanhol e inglês das publicações do NDI para circulação externa.</w:t>
      </w:r>
    </w:p>
    <w:p>
      <w:pPr>
        <w:pStyle w:val="Normal"/>
        <w:suppressAutoHyphens w:val="true"/>
        <w:spacing w:lineRule="auto" w:line="360" w:before="0" w:after="0"/>
        <w:jc w:val="both"/>
        <w:rPr>
          <w:color w:val="00000A"/>
        </w:rPr>
      </w:pPr>
      <w:r>
        <w:rPr>
          <w:rFonts w:eastAsia="SimSun" w:cs="Arial" w:ascii="Arial" w:hAnsi="Arial"/>
          <w:color w:val="00000A"/>
          <w:sz w:val="24"/>
          <w:szCs w:val="24"/>
          <w:lang w:eastAsia="zh-CN" w:bidi="hi-IN"/>
        </w:rPr>
        <w:t>10) buscar públicos estrangeiros para as publicações do NDI.</w:t>
      </w:r>
    </w:p>
    <w:p>
      <w:pPr>
        <w:pStyle w:val="Normal"/>
        <w:suppressAutoHyphens w:val="true"/>
        <w:spacing w:lineRule="auto" w:line="360" w:before="0" w:after="0"/>
        <w:jc w:val="both"/>
        <w:rPr>
          <w:color w:val="00000A"/>
        </w:rPr>
      </w:pPr>
      <w:r>
        <w:rPr>
          <w:rFonts w:eastAsia="SimSun" w:cs="Arial" w:ascii="Arial" w:hAnsi="Arial"/>
          <w:color w:val="00000A"/>
          <w:sz w:val="24"/>
          <w:szCs w:val="24"/>
          <w:lang w:eastAsia="zh-CN" w:bidi="hi-IN"/>
        </w:rPr>
        <w:t>11) disponibilizar fontes estrangeiras de informações interessantes à comunidade interna do CEFD.</w:t>
      </w:r>
    </w:p>
    <w:p>
      <w:pPr>
        <w:pStyle w:val="Normal"/>
        <w:suppressAutoHyphens w:val="true"/>
        <w:spacing w:lineRule="auto" w:line="360" w:before="0" w:after="0"/>
        <w:jc w:val="both"/>
        <w:rPr>
          <w:color w:val="00000A"/>
        </w:rPr>
      </w:pPr>
      <w:r>
        <w:rPr>
          <w:rFonts w:eastAsia="SimSun" w:cs="Arial" w:ascii="Arial" w:hAnsi="Arial"/>
          <w:color w:val="00000A"/>
          <w:sz w:val="24"/>
          <w:szCs w:val="24"/>
          <w:lang w:eastAsia="zh-CN" w:bidi="hi-IN"/>
        </w:rPr>
        <w:t>12) divulgar sistematicamente as ações de mobilidade acadêmica internacional e intercâmbio realizadas pelos alunos do CEFD no exterior e de alunos estrangeiros no CEFD.</w:t>
      </w:r>
    </w:p>
    <w:p>
      <w:pPr>
        <w:pStyle w:val="Normal"/>
        <w:shd w:val="clear" w:color="auto" w:fill="FFFFFF"/>
        <w:spacing w:lineRule="auto" w:line="360" w:before="0" w:after="0"/>
        <w:rPr/>
      </w:pPr>
      <w:r>
        <w:rPr>
          <w:rFonts w:eastAsia="Times New Roman" w:cs="Arial" w:ascii="Arial" w:hAnsi="Arial"/>
          <w:color w:val="00000A"/>
          <w:sz w:val="24"/>
          <w:szCs w:val="24"/>
          <w:lang w:eastAsia="pt-BR"/>
        </w:rPr>
        <w:t>13) Buscar colaborações em pesquisas com instituições estrangeiras.</w:t>
        <w:br/>
      </w:r>
      <w:r>
        <w:rPr>
          <w:rFonts w:eastAsia="Times New Roman" w:cs="Arial" w:ascii="Arial" w:hAnsi="Arial"/>
          <w:color w:val="222222"/>
          <w:sz w:val="24"/>
          <w:szCs w:val="24"/>
          <w:lang w:eastAsia="pt-BR"/>
        </w:rPr>
        <w:t>14) Realizar disciplinas e cursos de pequena duração com professores visitantes de universidades dos Estados Unidos, Canadá, Japão, Portugal e Espanha.</w:t>
      </w:r>
    </w:p>
    <w:p>
      <w:pPr>
        <w:pStyle w:val="Normal"/>
        <w:spacing w:lineRule="auto" w:line="240"/>
        <w:jc w:val="both"/>
        <w:rPr/>
      </w:pPr>
      <w:r>
        <w:rPr>
          <w:rFonts w:eastAsia="Times New Roman" w:cs="Arial" w:ascii="Arial" w:hAnsi="Arial"/>
          <w:color w:val="222222"/>
          <w:sz w:val="24"/>
          <w:szCs w:val="24"/>
          <w:lang w:eastAsia="pt-BR"/>
        </w:rPr>
        <w:t>15) Realizar eventos que  possibilitem a transferência de conhecimento de pesquisadores de outros países para pesquisadores do Brasil.</w:t>
      </w:r>
    </w:p>
    <w:p>
      <w:pPr>
        <w:pStyle w:val="Standard"/>
        <w:spacing w:lineRule="auto" w:line="276"/>
        <w:jc w:val="both"/>
        <w:rPr>
          <w:rFonts w:ascii="Arial" w:hAnsi="Arial" w:cs="Arial"/>
          <w:color w:val="222222"/>
        </w:rPr>
      </w:pPr>
      <w:r>
        <w:rPr>
          <w:rFonts w:cs="Arial" w:ascii="Arial" w:hAnsi="Arial"/>
          <w:color w:val="222222"/>
        </w:rPr>
        <w:t>16) Otimizar as rotinas administrativas e os sistemas de informação, primando pela agilidade, desburocratização, transparência e qualidade das informações e da gestão.</w:t>
      </w:r>
    </w:p>
    <w:p>
      <w:pPr>
        <w:pStyle w:val="Standard"/>
        <w:spacing w:lineRule="auto" w:line="276"/>
        <w:jc w:val="both"/>
        <w:rPr/>
      </w:pPr>
      <w:r>
        <w:rPr/>
      </w:r>
    </w:p>
    <w:p>
      <w:pPr>
        <w:pStyle w:val="Standard"/>
        <w:spacing w:lineRule="auto" w:line="276"/>
        <w:jc w:val="both"/>
        <w:rPr/>
      </w:pPr>
      <w:r>
        <w:rPr>
          <w:rFonts w:cs="Arial" w:ascii="Arial" w:hAnsi="Arial"/>
          <w:color w:val="222222"/>
        </w:rPr>
        <w:t>17) Desenvolver processos e rotinas de trabalho que considerem a realidade multi-campi e os diferentes níveis de ensino.</w:t>
      </w:r>
    </w:p>
    <w:p>
      <w:pPr>
        <w:pStyle w:val="Standard"/>
        <w:spacing w:lineRule="auto" w:line="276"/>
        <w:jc w:val="both"/>
        <w:rPr>
          <w:rFonts w:ascii="Arial" w:hAnsi="Arial" w:cs="Arial"/>
          <w:color w:val="222222"/>
        </w:rPr>
      </w:pPr>
      <w:r>
        <w:rPr>
          <w:rFonts w:cs="Arial" w:ascii="Arial" w:hAnsi="Arial"/>
          <w:color w:val="222222"/>
        </w:rPr>
      </w:r>
    </w:p>
    <w:p>
      <w:pPr>
        <w:pStyle w:val="Standard"/>
        <w:spacing w:lineRule="auto" w:line="360"/>
        <w:jc w:val="both"/>
        <w:rPr/>
      </w:pPr>
      <w:r>
        <w:rPr>
          <w:rFonts w:cs="Arial" w:ascii="Arial" w:hAnsi="Arial"/>
        </w:rPr>
        <w:t>18) Executar os empenhos de diárias, passagens, taxa de inscrições, referentes à viagens e eventos internacionais de docentes e TAEs.</w:t>
      </w:r>
    </w:p>
    <w:p>
      <w:pPr>
        <w:pStyle w:val="Standard"/>
        <w:spacing w:lineRule="auto" w:line="360"/>
        <w:jc w:val="both"/>
        <w:rPr/>
      </w:pPr>
      <w:r>
        <w:rPr>
          <w:rFonts w:cs="Arial" w:ascii="Arial" w:hAnsi="Arial"/>
        </w:rPr>
        <w:t>19) Apoiar iniciativas e projetos de pesquisa, ensino ou extensão que possam alcançar relevância internacional.</w:t>
      </w:r>
    </w:p>
    <w:p>
      <w:pPr>
        <w:pStyle w:val="Standard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b/>
          <w:b/>
          <w:bCs/>
        </w:rPr>
      </w:pPr>
      <w:r>
        <w:rPr>
          <w:rFonts w:cs="Arial" w:ascii="Arial" w:hAnsi="Arial"/>
          <w:b/>
          <w:bCs/>
          <w:sz w:val="24"/>
          <w:szCs w:val="24"/>
        </w:rPr>
        <w:t>2.3.3 Educação inovadora e transformadora com excelência acadêmica (D2)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24"/>
          <w:szCs w:val="24"/>
        </w:rPr>
        <w:tab/>
        <w:t>Para a Educação inovadora e transformadora com excelência acadêmica foram propostos 21 objetivos conforme abaixo.</w:t>
      </w:r>
    </w:p>
    <w:p>
      <w:pPr>
        <w:pStyle w:val="Normal"/>
        <w:jc w:val="both"/>
        <w:rPr>
          <w:rFonts w:ascii="Arial" w:hAnsi="Arial" w:cs="Arial"/>
          <w:color w:val="00000A"/>
          <w:sz w:val="24"/>
          <w:szCs w:val="24"/>
        </w:rPr>
      </w:pPr>
      <w:r>
        <w:rPr>
          <w:rFonts w:cs="Arial" w:ascii="Arial" w:hAnsi="Arial"/>
          <w:color w:val="00000A"/>
          <w:sz w:val="24"/>
          <w:szCs w:val="24"/>
        </w:rPr>
      </w:r>
    </w:p>
    <w:p>
      <w:pPr>
        <w:pStyle w:val="Normal"/>
        <w:jc w:val="both"/>
        <w:rPr>
          <w:color w:val="00000A"/>
        </w:rPr>
      </w:pPr>
      <w:r>
        <w:rPr>
          <w:rFonts w:cs="Arial" w:ascii="Arial" w:hAnsi="Arial"/>
          <w:color w:val="00000A"/>
          <w:sz w:val="24"/>
          <w:szCs w:val="24"/>
        </w:rPr>
        <w:t>1) Incentivar a capacitação de TAES e docentes na participação das atividades acadêmicas e administrativas de forma integrada.</w:t>
      </w:r>
    </w:p>
    <w:p>
      <w:pPr>
        <w:pStyle w:val="Normal"/>
        <w:jc w:val="both"/>
        <w:rPr>
          <w:color w:val="00000A"/>
        </w:rPr>
      </w:pPr>
      <w:r>
        <w:rPr>
          <w:rFonts w:cs="Arial" w:ascii="Arial" w:hAnsi="Arial"/>
          <w:color w:val="00000A"/>
          <w:sz w:val="24"/>
          <w:szCs w:val="24"/>
        </w:rPr>
        <w:t xml:space="preserve">2) Fomentar atividades de compartilhamento de projetos em desenvolvimento criando ambiente favorável para a formação de parcerias. </w:t>
      </w:r>
    </w:p>
    <w:p>
      <w:pPr>
        <w:pStyle w:val="Normal"/>
        <w:jc w:val="both"/>
        <w:rPr>
          <w:color w:val="00000A"/>
        </w:rPr>
      </w:pPr>
      <w:r>
        <w:rPr>
          <w:rFonts w:cs="Arial" w:ascii="Arial" w:hAnsi="Arial"/>
          <w:color w:val="00000A"/>
          <w:sz w:val="24"/>
          <w:szCs w:val="24"/>
        </w:rPr>
        <w:t>3) Estimular a atualização dos currículos de modo a contemplar as novas diretrizes da legislação e demandas sociais.</w:t>
      </w:r>
    </w:p>
    <w:p>
      <w:pPr>
        <w:pStyle w:val="Normal"/>
        <w:jc w:val="both"/>
        <w:rPr>
          <w:color w:val="00000A"/>
        </w:rPr>
      </w:pPr>
      <w:r>
        <w:rPr>
          <w:rFonts w:cs="Arial" w:ascii="Arial" w:hAnsi="Arial"/>
          <w:color w:val="00000A"/>
          <w:sz w:val="24"/>
          <w:szCs w:val="24"/>
        </w:rPr>
        <w:t xml:space="preserve">4) Estimular e aprimorar as parcerias entre os Cursos de Graduação e Pós-graduação do CEFD. </w:t>
      </w:r>
    </w:p>
    <w:p>
      <w:pPr>
        <w:pStyle w:val="Normal"/>
        <w:jc w:val="both"/>
        <w:rPr>
          <w:color w:val="00000A"/>
        </w:rPr>
      </w:pPr>
      <w:r>
        <w:rPr>
          <w:rFonts w:cs="Arial" w:ascii="Arial" w:hAnsi="Arial"/>
          <w:color w:val="00000A"/>
          <w:sz w:val="24"/>
          <w:szCs w:val="24"/>
        </w:rPr>
        <w:t>5) Aproximar a comunidade do CEFD às ações esportivas, artísticas e culturais de projetos em desenvolvimento pelo CEFD.</w:t>
      </w:r>
    </w:p>
    <w:p>
      <w:pPr>
        <w:pStyle w:val="Normal"/>
        <w:jc w:val="both"/>
        <w:rPr>
          <w:color w:val="00000A"/>
        </w:rPr>
      </w:pPr>
      <w:r>
        <w:rPr>
          <w:rFonts w:cs="Arial" w:ascii="Arial" w:hAnsi="Arial"/>
          <w:color w:val="00000A"/>
          <w:sz w:val="24"/>
          <w:szCs w:val="24"/>
        </w:rPr>
        <w:t>6) Promover processos de capacitação docente continuada.</w:t>
      </w:r>
    </w:p>
    <w:p>
      <w:pPr>
        <w:pStyle w:val="Normal"/>
        <w:jc w:val="both"/>
        <w:rPr>
          <w:color w:val="00000A"/>
        </w:rPr>
      </w:pPr>
      <w:r>
        <w:rPr>
          <w:rFonts w:cs="Arial" w:ascii="Arial" w:hAnsi="Arial"/>
          <w:color w:val="00000A"/>
          <w:sz w:val="24"/>
          <w:szCs w:val="24"/>
        </w:rPr>
        <w:t>7) Estimular ações vinculadas a Temáticas Transversais e interdisciplinares como Meio Ambiente, Relações Étnico-raciais, Direitos Humanos, relações de Gênero, Sexualidade, Geracão, Pessoas com deficiência, população em situação de vulnerabilidade social e pessoas com privação de liberdade.</w:t>
      </w:r>
    </w:p>
    <w:p>
      <w:pPr>
        <w:pStyle w:val="Normal"/>
        <w:jc w:val="both"/>
        <w:rPr>
          <w:color w:val="00000A"/>
        </w:rPr>
      </w:pPr>
      <w:r>
        <w:rPr>
          <w:rFonts w:cs="Arial" w:ascii="Arial" w:hAnsi="Arial"/>
          <w:color w:val="00000A"/>
          <w:sz w:val="24"/>
          <w:szCs w:val="24"/>
        </w:rPr>
        <w:t>8) Estimular parcerias com outros Cursos e Centros a fim de propiciar ações compartilhadas e interdisciplinares.</w:t>
      </w:r>
    </w:p>
    <w:p>
      <w:pPr>
        <w:pStyle w:val="Normal"/>
        <w:jc w:val="both"/>
        <w:rPr>
          <w:color w:val="00000A"/>
        </w:rPr>
      </w:pPr>
      <w:r>
        <w:rPr>
          <w:rFonts w:cs="Arial" w:ascii="Arial" w:hAnsi="Arial"/>
          <w:color w:val="00000A"/>
          <w:sz w:val="24"/>
          <w:szCs w:val="24"/>
        </w:rPr>
        <w:t>9) Promover parcerias com empresas em geral bem como com a Incubadora Tecnológica e Social da UFSM.</w:t>
      </w:r>
    </w:p>
    <w:p>
      <w:pPr>
        <w:pStyle w:val="Normal"/>
        <w:rPr>
          <w:color w:val="00000A"/>
        </w:rPr>
      </w:pPr>
      <w:r>
        <w:rPr>
          <w:rFonts w:cs="Arial" w:ascii="Arial" w:hAnsi="Arial"/>
          <w:color w:val="00000A"/>
          <w:sz w:val="24"/>
          <w:szCs w:val="24"/>
        </w:rPr>
        <w:t>10) Priorizar os recursos de modo a promover a participação de alunos em eventos , apresentações de trabalhos e publicações.</w:t>
      </w:r>
    </w:p>
    <w:p>
      <w:pPr>
        <w:pStyle w:val="Normal"/>
        <w:suppressAutoHyphens w:val="true"/>
        <w:spacing w:lineRule="auto" w:line="360" w:before="0" w:after="0"/>
        <w:jc w:val="both"/>
        <w:rPr>
          <w:color w:val="00000A"/>
        </w:rPr>
      </w:pPr>
      <w:r>
        <w:rPr>
          <w:rFonts w:eastAsia="SimSun" w:cs="Arial" w:ascii="Arial" w:hAnsi="Arial"/>
          <w:color w:val="00000A"/>
          <w:sz w:val="24"/>
          <w:szCs w:val="24"/>
          <w:lang w:eastAsia="zh-CN" w:bidi="hi-IN"/>
        </w:rPr>
        <w:t>11) Ampliar a quantidade e a visibilidade interna das publicações do NDI;</w:t>
      </w:r>
    </w:p>
    <w:p>
      <w:pPr>
        <w:pStyle w:val="Normal"/>
        <w:suppressAutoHyphens w:val="true"/>
        <w:spacing w:lineRule="auto" w:line="360" w:before="0" w:after="0"/>
        <w:jc w:val="both"/>
        <w:rPr>
          <w:color w:val="00000A"/>
        </w:rPr>
      </w:pPr>
      <w:r>
        <w:rPr>
          <w:rFonts w:eastAsia="SimSun" w:cs="Arial" w:ascii="Arial" w:hAnsi="Arial"/>
          <w:color w:val="00000A"/>
          <w:sz w:val="24"/>
          <w:szCs w:val="24"/>
          <w:lang w:eastAsia="zh-CN" w:bidi="hi-IN"/>
        </w:rPr>
        <w:t>12) Realizar campanhas de valorização profissional (Bacharel e Licenciado em Educação Física, Licenciado em Dança), direcionadas à comunidade do CEFD e da UFSM;</w:t>
      </w:r>
    </w:p>
    <w:p>
      <w:pPr>
        <w:pStyle w:val="Normal"/>
        <w:suppressAutoHyphens w:val="true"/>
        <w:spacing w:lineRule="auto" w:line="360" w:before="0" w:after="0"/>
        <w:jc w:val="both"/>
        <w:rPr>
          <w:color w:val="00000A"/>
        </w:rPr>
      </w:pPr>
      <w:r>
        <w:rPr>
          <w:rFonts w:eastAsia="SimSun" w:cs="Arial" w:ascii="Arial" w:hAnsi="Arial"/>
          <w:color w:val="00000A"/>
          <w:sz w:val="24"/>
          <w:szCs w:val="24"/>
          <w:lang w:eastAsia="zh-CN" w:bidi="hi-IN"/>
        </w:rPr>
        <w:t>13) Realizar pesquisas de opinião pública periódicas entre os alunos e os egressos acerca da formação acadêmica e da atuação profissional nas áreas de Dança-Licenciatura e Educação Física.</w:t>
      </w:r>
    </w:p>
    <w:p>
      <w:pPr>
        <w:pStyle w:val="Normal"/>
        <w:shd w:val="clear" w:color="auto" w:fill="FFFFFF"/>
        <w:spacing w:lineRule="auto" w:line="360" w:before="0" w:after="0"/>
        <w:rPr>
          <w:color w:val="00000A"/>
        </w:rPr>
      </w:pPr>
      <w:r>
        <w:rPr>
          <w:rFonts w:eastAsia="Times New Roman" w:cs="Arial" w:ascii="Arial" w:hAnsi="Arial"/>
          <w:color w:val="00000A"/>
          <w:sz w:val="24"/>
          <w:szCs w:val="24"/>
          <w:lang w:eastAsia="pt-BR"/>
        </w:rPr>
        <w:t>14) Buscar meios de incentivar e aprimorar a produção de artigos do Curso;</w:t>
      </w:r>
    </w:p>
    <w:p>
      <w:pPr>
        <w:pStyle w:val="Normal"/>
        <w:shd w:val="clear" w:color="auto" w:fill="FFFFFF"/>
        <w:spacing w:lineRule="auto" w:line="360" w:before="0" w:after="0"/>
        <w:rPr>
          <w:color w:val="00000A"/>
        </w:rPr>
      </w:pPr>
      <w:r>
        <w:rPr>
          <w:rFonts w:eastAsia="Times New Roman" w:cs="Arial" w:ascii="Arial" w:hAnsi="Arial"/>
          <w:color w:val="00000A"/>
          <w:sz w:val="24"/>
          <w:szCs w:val="24"/>
          <w:lang w:eastAsia="pt-BR"/>
        </w:rPr>
        <w:t>15) Consolidar a visão e a concepção interdisciplinar do Programa;</w:t>
      </w:r>
    </w:p>
    <w:p>
      <w:pPr>
        <w:pStyle w:val="Normal"/>
        <w:spacing w:lineRule="auto" w:line="360"/>
        <w:jc w:val="both"/>
        <w:rPr>
          <w:color w:val="00000A"/>
        </w:rPr>
      </w:pPr>
      <w:r>
        <w:rPr>
          <w:rFonts w:eastAsia="Times New Roman" w:cs="Arial" w:ascii="Arial" w:hAnsi="Arial"/>
          <w:color w:val="00000A"/>
          <w:sz w:val="24"/>
          <w:szCs w:val="24"/>
          <w:lang w:eastAsia="pt-BR"/>
        </w:rPr>
        <w:t>16) Organizar novas disciplinas que aumentem a integração com a Educação Básica visando a disseminação de conceitos da área gerontológica.</w:t>
        <w:br/>
        <w:t xml:space="preserve">17) </w:t>
      </w:r>
      <w:r>
        <w:rPr>
          <w:rFonts w:eastAsia="NSimSun" w:cs="Arial" w:ascii="Arial" w:hAnsi="Arial"/>
          <w:bCs/>
          <w:color w:val="00000A"/>
          <w:sz w:val="24"/>
          <w:szCs w:val="24"/>
          <w:lang w:eastAsia="zh-CN" w:bidi="hi-IN"/>
        </w:rPr>
        <w:t>Desenvolver processos e rotinas de trabalho que considerem a realidade multi-campi e os diferentes níveis de ensino.</w:t>
      </w:r>
    </w:p>
    <w:p>
      <w:pPr>
        <w:pStyle w:val="Normal"/>
        <w:suppressAutoHyphens w:val="true"/>
        <w:spacing w:lineRule="auto" w:line="360" w:before="0" w:after="0"/>
        <w:jc w:val="both"/>
        <w:textAlignment w:val="baseline"/>
        <w:rPr>
          <w:color w:val="00000A"/>
        </w:rPr>
      </w:pPr>
      <w:r>
        <w:rPr>
          <w:rFonts w:eastAsia="NSimSun" w:cs="Arial" w:ascii="Arial" w:hAnsi="Arial"/>
          <w:bCs/>
          <w:color w:val="00000A"/>
          <w:sz w:val="24"/>
          <w:szCs w:val="24"/>
          <w:lang w:eastAsia="zh-CN" w:bidi="hi-IN"/>
        </w:rPr>
        <w:t>18) Desenvolver uma cultura de comprometimento organizacional.</w:t>
      </w:r>
    </w:p>
    <w:p>
      <w:pPr>
        <w:pStyle w:val="Normal"/>
        <w:suppressAutoHyphens w:val="true"/>
        <w:spacing w:lineRule="auto" w:line="240" w:before="0" w:after="0"/>
        <w:jc w:val="both"/>
        <w:textAlignment w:val="baseline"/>
        <w:rPr>
          <w:rFonts w:ascii="Arial" w:hAnsi="Arial" w:eastAsia="NSimSun" w:cs="Arial"/>
          <w:bCs/>
          <w:color w:val="00000A"/>
          <w:sz w:val="24"/>
          <w:szCs w:val="24"/>
          <w:lang w:eastAsia="zh-CN" w:bidi="hi-IN"/>
        </w:rPr>
      </w:pPr>
      <w:r>
        <w:rPr>
          <w:rFonts w:eastAsia="NSimSun" w:cs="Arial" w:ascii="Arial" w:hAnsi="Arial"/>
          <w:bCs/>
          <w:color w:val="00000A"/>
          <w:sz w:val="24"/>
          <w:szCs w:val="24"/>
          <w:lang w:eastAsia="zh-CN" w:bidi="hi-IN"/>
        </w:rPr>
        <w:t>19) Oferecer uma infraestrutura de apoio qualificada e de acordo com as necessidades de cada área de conhecimento.</w:t>
      </w:r>
    </w:p>
    <w:p>
      <w:pPr>
        <w:pStyle w:val="Normal"/>
        <w:suppressAutoHyphens w:val="true"/>
        <w:spacing w:lineRule="auto" w:line="240" w:before="0" w:after="0"/>
        <w:jc w:val="both"/>
        <w:textAlignment w:val="baseline"/>
        <w:rPr>
          <w:color w:val="00000A"/>
        </w:rPr>
      </w:pPr>
      <w:r>
        <w:rPr>
          <w:color w:val="00000A"/>
        </w:rPr>
      </w:r>
    </w:p>
    <w:p>
      <w:pPr>
        <w:pStyle w:val="Standard"/>
        <w:jc w:val="both"/>
        <w:rPr/>
      </w:pPr>
      <w:r>
        <w:rPr>
          <w:rFonts w:ascii="Arial" w:hAnsi="Arial"/>
        </w:rPr>
        <w:t>20) Apoiar e prestar auxílio a iniciativas que busquem qualificação e formação continuada de professores e alunos, tanto da comunidade interna ou externa da UFSM.</w:t>
      </w:r>
    </w:p>
    <w:p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andard"/>
        <w:jc w:val="both"/>
        <w:rPr/>
      </w:pPr>
      <w:r>
        <w:rPr>
          <w:rFonts w:ascii="Arial" w:hAnsi="Arial"/>
        </w:rPr>
        <w:t>21) Prestar o apoio necessário para a devida certificação de discentes, docentes, TAEs ou colaboradores externos participantes de projetos.</w:t>
      </w:r>
    </w:p>
    <w:p>
      <w:pPr>
        <w:pStyle w:val="Normal"/>
        <w:jc w:val="both"/>
        <w:rPr>
          <w:rFonts w:ascii="Arial" w:hAnsi="Arial" w:cs="Arial"/>
          <w:color w:val="00000A"/>
          <w:sz w:val="24"/>
          <w:szCs w:val="24"/>
        </w:rPr>
      </w:pPr>
      <w:r>
        <w:rPr>
          <w:rFonts w:cs="Arial" w:ascii="Arial" w:hAnsi="Arial"/>
          <w:color w:val="00000A"/>
          <w:sz w:val="24"/>
          <w:szCs w:val="24"/>
        </w:rPr>
      </w:r>
    </w:p>
    <w:p>
      <w:pPr>
        <w:pStyle w:val="Normal"/>
        <w:rPr>
          <w:rFonts w:ascii="Arial" w:hAnsi="Arial" w:cs="Arial"/>
          <w:color w:val="00000A"/>
          <w:sz w:val="24"/>
          <w:szCs w:val="24"/>
        </w:rPr>
      </w:pPr>
      <w:r>
        <w:rPr>
          <w:rFonts w:cs="Arial" w:ascii="Arial" w:hAnsi="Arial"/>
          <w:color w:val="00000A"/>
          <w:sz w:val="24"/>
          <w:szCs w:val="24"/>
        </w:rPr>
      </w:r>
    </w:p>
    <w:p>
      <w:pPr>
        <w:pStyle w:val="Normal"/>
        <w:rPr>
          <w:rFonts w:ascii="Arial" w:hAnsi="Arial" w:cs="Arial"/>
          <w:b/>
          <w:b/>
          <w:color w:val="00000A"/>
          <w:sz w:val="24"/>
          <w:szCs w:val="24"/>
        </w:rPr>
      </w:pPr>
      <w:r>
        <w:rPr>
          <w:rFonts w:cs="Arial" w:ascii="Arial" w:hAnsi="Arial"/>
          <w:b/>
          <w:color w:val="00000A"/>
          <w:sz w:val="24"/>
          <w:szCs w:val="24"/>
        </w:rPr>
        <w:t>Inclusão Social (D3)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24"/>
          <w:szCs w:val="24"/>
        </w:rPr>
        <w:tab/>
        <w:t>Para a Inclusão Social foram propostos 15 objetivos conforme abaixo.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/>
      </w:pPr>
      <w:r>
        <w:rPr>
          <w:rFonts w:cs="Arial" w:ascii="Arial" w:hAnsi="Arial"/>
          <w:color w:val="00000A"/>
          <w:sz w:val="24"/>
          <w:szCs w:val="24"/>
        </w:rPr>
        <w:t>1) Capacitar Docentes,  discentes e técnicos administrativos nas áreas de Pessoas com deficiência (PCD), Envelhecimento, Gênero, Sexualidade, lei 2003 (Cultura Africana e Indígena).</w:t>
      </w:r>
    </w:p>
    <w:p>
      <w:pPr>
        <w:pStyle w:val="Normal"/>
        <w:jc w:val="both"/>
        <w:rPr>
          <w:color w:val="00000A"/>
        </w:rPr>
      </w:pPr>
      <w:r>
        <w:rPr>
          <w:rFonts w:cs="Arial" w:ascii="Arial" w:hAnsi="Arial"/>
          <w:color w:val="00000A"/>
          <w:sz w:val="24"/>
          <w:szCs w:val="24"/>
        </w:rPr>
        <w:t>2) Fortalecer as políticas de permanência de discentes.</w:t>
      </w:r>
    </w:p>
    <w:p>
      <w:pPr>
        <w:pStyle w:val="Normal"/>
        <w:jc w:val="both"/>
        <w:rPr>
          <w:color w:val="00000A"/>
        </w:rPr>
      </w:pPr>
      <w:r>
        <w:rPr>
          <w:rFonts w:cs="Arial" w:ascii="Arial" w:hAnsi="Arial"/>
          <w:color w:val="00000A"/>
          <w:sz w:val="24"/>
          <w:szCs w:val="24"/>
        </w:rPr>
        <w:t>3) Qualificar a infraestrutura de engenharia e logística respeitando as premissas de acessibilidade, respeito ao Meio Ambiente e segurança.</w:t>
      </w:r>
    </w:p>
    <w:p>
      <w:pPr>
        <w:pStyle w:val="Normal"/>
        <w:jc w:val="both"/>
        <w:rPr>
          <w:color w:val="00000A"/>
        </w:rPr>
      </w:pPr>
      <w:r>
        <w:rPr>
          <w:rFonts w:cs="Arial" w:ascii="Arial" w:hAnsi="Arial"/>
          <w:color w:val="00000A"/>
          <w:sz w:val="24"/>
          <w:szCs w:val="24"/>
        </w:rPr>
        <w:t>4) Promover diferentes ações de Extensão fortalecendo o diálogo com os segmentos da sociedade de modo a envolver a participação popular.</w:t>
      </w:r>
    </w:p>
    <w:p>
      <w:pPr>
        <w:pStyle w:val="Normal"/>
        <w:jc w:val="both"/>
        <w:rPr>
          <w:color w:val="00000A"/>
        </w:rPr>
      </w:pPr>
      <w:r>
        <w:rPr>
          <w:rFonts w:cs="Arial" w:ascii="Arial" w:hAnsi="Arial"/>
          <w:color w:val="00000A"/>
          <w:sz w:val="24"/>
          <w:szCs w:val="24"/>
        </w:rPr>
        <w:t>5) Fortalecer a superação de dificuldades de aprendizagem de discentes por meio estratégicas de apoio pedagógico das subunidades como UAP e NDE.</w:t>
      </w:r>
    </w:p>
    <w:p>
      <w:pPr>
        <w:pStyle w:val="Normal"/>
        <w:jc w:val="both"/>
        <w:rPr>
          <w:color w:val="00000A"/>
        </w:rPr>
      </w:pPr>
      <w:r>
        <w:rPr>
          <w:rFonts w:cs="Arial" w:ascii="Arial" w:hAnsi="Arial"/>
          <w:color w:val="00000A"/>
          <w:sz w:val="24"/>
          <w:szCs w:val="24"/>
        </w:rPr>
        <w:t>6) Possibilitar ações que contemplem crianças e adolescentes em situação de vulnerabilidade social.</w:t>
      </w:r>
    </w:p>
    <w:p>
      <w:pPr>
        <w:pStyle w:val="Normal"/>
        <w:jc w:val="both"/>
        <w:rPr>
          <w:color w:val="00000A"/>
        </w:rPr>
      </w:pPr>
      <w:r>
        <w:rPr>
          <w:rFonts w:cs="Arial" w:ascii="Arial" w:hAnsi="Arial"/>
          <w:color w:val="00000A"/>
          <w:sz w:val="24"/>
          <w:szCs w:val="24"/>
        </w:rPr>
        <w:t xml:space="preserve">7) Ampliar a participação de alunos da comunidade do CEFD em projetos esportivos, artísticos, culturais. </w:t>
      </w:r>
    </w:p>
    <w:p>
      <w:pPr>
        <w:pStyle w:val="Normal"/>
        <w:suppressAutoHyphens w:val="true"/>
        <w:spacing w:lineRule="auto" w:line="360" w:before="0" w:after="0"/>
        <w:jc w:val="both"/>
        <w:rPr/>
      </w:pPr>
      <w:r>
        <w:rPr>
          <w:rFonts w:eastAsia="SimSun" w:cs="Arial" w:ascii="Arial" w:hAnsi="Arial"/>
          <w:color w:val="00000A"/>
          <w:sz w:val="24"/>
          <w:szCs w:val="24"/>
          <w:lang w:eastAsia="zh-CN" w:bidi="hi-IN"/>
        </w:rPr>
        <w:t xml:space="preserve">8) Disponibilizar versões acessíveis </w:t>
      </w:r>
      <w:r>
        <w:rPr>
          <w:rFonts w:eastAsia="SimSun" w:cs="Arial" w:ascii="Arial" w:hAnsi="Arial"/>
          <w:sz w:val="24"/>
          <w:szCs w:val="24"/>
          <w:lang w:eastAsia="zh-CN" w:bidi="hi-IN"/>
        </w:rPr>
        <w:t>das publicações do NDI para circulação interna e externa.</w:t>
      </w:r>
    </w:p>
    <w:p>
      <w:pPr>
        <w:pStyle w:val="Normal"/>
        <w:shd w:val="clear" w:color="auto" w:fill="FFFFFF"/>
        <w:spacing w:lineRule="auto" w:line="360" w:before="0" w:after="0"/>
        <w:jc w:val="both"/>
        <w:rPr/>
      </w:pPr>
      <w:r>
        <w:rPr>
          <w:rFonts w:eastAsia="Times New Roman" w:cs="Arial" w:ascii="Arial" w:hAnsi="Arial"/>
          <w:color w:val="222222"/>
          <w:sz w:val="24"/>
          <w:szCs w:val="24"/>
          <w:lang w:eastAsia="pt-BR"/>
        </w:rPr>
        <w:t>9) Desenvolver um conjunto consistente de ações em nível de Extensão voltadas aos idosos.</w:t>
      </w:r>
    </w:p>
    <w:p>
      <w:pPr>
        <w:pStyle w:val="Normal"/>
        <w:shd w:val="clear" w:color="auto" w:fill="FFFFFF"/>
        <w:spacing w:lineRule="auto" w:line="360" w:before="0" w:after="0"/>
        <w:jc w:val="both"/>
        <w:rPr/>
      </w:pPr>
      <w:r>
        <w:rPr>
          <w:rFonts w:eastAsia="Times New Roman" w:cs="Arial" w:ascii="Arial" w:hAnsi="Arial"/>
          <w:color w:val="222222"/>
          <w:sz w:val="24"/>
          <w:szCs w:val="24"/>
          <w:lang w:eastAsia="pt-BR"/>
        </w:rPr>
        <w:t>10) Capacitar através de cursos e eventos de curta duração os profissionais com formação superior e do ensino médio na área gerontológica.</w:t>
      </w:r>
    </w:p>
    <w:p>
      <w:pPr>
        <w:pStyle w:val="Normal"/>
        <w:suppressAutoHyphens w:val="true"/>
        <w:spacing w:lineRule="auto" w:line="360" w:before="0" w:after="0"/>
        <w:jc w:val="both"/>
        <w:textAlignment w:val="baseline"/>
        <w:rPr/>
      </w:pPr>
      <w:r>
        <w:rPr>
          <w:rFonts w:eastAsia="NSimSun" w:cs="Arial" w:ascii="Arial" w:hAnsi="Arial"/>
          <w:bCs/>
          <w:color w:val="222222"/>
          <w:sz w:val="24"/>
          <w:szCs w:val="24"/>
          <w:lang w:eastAsia="zh-CN" w:bidi="hi-IN"/>
        </w:rPr>
        <w:t>11) Desenvolver processos e rotinas de trabalho que considerem a realidade multi-campi e os diferentes níveis de ensino.</w:t>
      </w:r>
    </w:p>
    <w:p>
      <w:pPr>
        <w:pStyle w:val="Normal"/>
        <w:suppressAutoHyphens w:val="true"/>
        <w:spacing w:lineRule="auto" w:line="360" w:before="0" w:after="0"/>
        <w:jc w:val="both"/>
        <w:textAlignment w:val="baseline"/>
        <w:rPr/>
      </w:pPr>
      <w:r>
        <w:rPr>
          <w:rFonts w:eastAsia="NSimSun" w:cs="Arial" w:ascii="Arial" w:hAnsi="Arial"/>
          <w:bCs/>
          <w:color w:val="222222"/>
          <w:sz w:val="24"/>
          <w:szCs w:val="24"/>
          <w:lang w:eastAsia="zh-CN" w:bidi="hi-IN"/>
        </w:rPr>
        <w:t>12) Disseminar uma cultura ética em relação à inclusão, à diversidade e ao meio-ambiente.</w:t>
      </w:r>
    </w:p>
    <w:p>
      <w:pPr>
        <w:pStyle w:val="Normal"/>
        <w:jc w:val="both"/>
        <w:rPr/>
      </w:pPr>
      <w:r>
        <w:rPr>
          <w:rFonts w:cs="Arial" w:ascii="Arial" w:hAnsi="Arial"/>
          <w:sz w:val="24"/>
          <w:szCs w:val="24"/>
        </w:rPr>
        <w:t>13) Executar os empenhos referentes as bolsas de alunos de monitoria, recursos do centro, formação, e esporte universitário, dando os encaminhamentos necessários ao pagamento.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14) </w:t>
      </w:r>
      <w:r>
        <w:rPr>
          <w:rFonts w:cs="Arial" w:ascii="Arial" w:hAnsi="Arial"/>
          <w:color w:val="1D2228"/>
          <w:sz w:val="24"/>
          <w:szCs w:val="24"/>
        </w:rPr>
        <w:t>Buscar oportunidades junto aos diversos órgãos e/ou instituições que apoiem a extensão universitária no Rio Grande do Sul e no Brasil.</w:t>
      </w:r>
    </w:p>
    <w:p>
      <w:pPr>
        <w:pStyle w:val="Standard"/>
        <w:jc w:val="both"/>
        <w:rPr/>
      </w:pPr>
      <w:r>
        <w:rPr>
          <w:rFonts w:cs="Arial" w:ascii="Arial" w:hAnsi="Arial"/>
          <w:color w:val="1D2228"/>
        </w:rPr>
        <w:t>15) Auxiliar os docentes e demais interessados na elaboração</w:t>
      </w:r>
      <w:r>
        <w:rPr>
          <w:rFonts w:ascii="Arial" w:hAnsi="Arial"/>
          <w:color w:val="1D2228"/>
        </w:rPr>
        <w:t>, registro e controle das ações de extensão em desenvolvimento no CEFD/UFSM.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/>
      </w:pPr>
      <w:r>
        <w:rPr>
          <w:rFonts w:cs="Arial" w:ascii="Arial" w:hAnsi="Arial"/>
          <w:b/>
          <w:sz w:val="24"/>
          <w:szCs w:val="24"/>
        </w:rPr>
        <w:t>Inovação, geração de conhecimento e transferência de tecnologia (D4)</w:t>
      </w:r>
    </w:p>
    <w:p>
      <w:pPr>
        <w:pStyle w:val="Normal"/>
        <w:rPr/>
      </w:pPr>
      <w:r>
        <w:rPr/>
      </w:r>
    </w:p>
    <w:p>
      <w:pPr>
        <w:pStyle w:val="Normal"/>
        <w:ind w:firstLine="708"/>
        <w:rPr/>
      </w:pPr>
      <w:r>
        <w:rPr>
          <w:rFonts w:cs="Arial" w:ascii="Arial" w:hAnsi="Arial"/>
          <w:sz w:val="24"/>
          <w:szCs w:val="24"/>
        </w:rPr>
        <w:t>Para a Inovação, geração de conhecimento e transferência de tecnologia</w:t>
      </w:r>
      <w:r>
        <w:rPr>
          <w:rFonts w:cs="Arial" w:ascii="Arial" w:hAnsi="Arial"/>
          <w:b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foram propostos 15 objetivos conforme abaixo.</w:t>
      </w:r>
    </w:p>
    <w:p>
      <w:pPr>
        <w:pStyle w:val="Normal"/>
        <w:ind w:firstLine="708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color w:val="00000A"/>
        </w:rPr>
      </w:pPr>
      <w:r>
        <w:rPr>
          <w:rFonts w:cs="Arial" w:ascii="Arial" w:hAnsi="Arial"/>
          <w:color w:val="00000A"/>
          <w:sz w:val="24"/>
          <w:szCs w:val="24"/>
        </w:rPr>
        <w:t>1) Fomentar ações e mecanismos de integração entre o CEFD, empresas e comunidade.</w:t>
      </w:r>
    </w:p>
    <w:p>
      <w:pPr>
        <w:pStyle w:val="Normal"/>
        <w:jc w:val="both"/>
        <w:rPr>
          <w:color w:val="00000A"/>
        </w:rPr>
      </w:pPr>
      <w:r>
        <w:rPr>
          <w:rFonts w:cs="Arial" w:ascii="Arial" w:hAnsi="Arial"/>
          <w:color w:val="00000A"/>
          <w:sz w:val="24"/>
          <w:szCs w:val="24"/>
        </w:rPr>
        <w:t>2) Qualificar e ampliar as ações de fomento à pesquisa com parcerias e convênios.</w:t>
      </w:r>
    </w:p>
    <w:p>
      <w:pPr>
        <w:pStyle w:val="Normal"/>
        <w:jc w:val="both"/>
        <w:rPr>
          <w:color w:val="00000A"/>
        </w:rPr>
      </w:pPr>
      <w:r>
        <w:rPr>
          <w:rFonts w:cs="Arial" w:ascii="Arial" w:hAnsi="Arial"/>
          <w:color w:val="00000A"/>
          <w:sz w:val="24"/>
          <w:szCs w:val="24"/>
        </w:rPr>
        <w:t>3) Ampliar o uso de tecnologias em diferentes processos institucionais.</w:t>
      </w:r>
    </w:p>
    <w:p>
      <w:pPr>
        <w:pStyle w:val="Normal"/>
        <w:jc w:val="both"/>
        <w:rPr>
          <w:color w:val="00000A"/>
        </w:rPr>
      </w:pPr>
      <w:r>
        <w:rPr>
          <w:rFonts w:cs="Arial" w:ascii="Arial" w:hAnsi="Arial"/>
          <w:color w:val="00000A"/>
          <w:sz w:val="24"/>
          <w:szCs w:val="24"/>
        </w:rPr>
        <w:t>4) Ampliar o processo de captação de recursos extra-orçamentários.</w:t>
      </w:r>
    </w:p>
    <w:p>
      <w:pPr>
        <w:pStyle w:val="Normal"/>
        <w:jc w:val="both"/>
        <w:rPr>
          <w:color w:val="00000A"/>
        </w:rPr>
      </w:pPr>
      <w:r>
        <w:rPr>
          <w:rFonts w:cs="Arial" w:ascii="Arial" w:hAnsi="Arial"/>
          <w:color w:val="00000A"/>
          <w:sz w:val="24"/>
          <w:szCs w:val="24"/>
        </w:rPr>
        <w:t>5) Otimizar as rotinas administrativas e os sistemas de informação primando pela agilidade, desburocratização, transparência e qualidade das informações de gestão.</w:t>
      </w:r>
    </w:p>
    <w:p>
      <w:pPr>
        <w:pStyle w:val="Normal"/>
        <w:jc w:val="both"/>
        <w:rPr>
          <w:color w:val="00000A"/>
        </w:rPr>
      </w:pPr>
      <w:r>
        <w:rPr>
          <w:rFonts w:cs="Arial" w:ascii="Arial" w:hAnsi="Arial"/>
          <w:color w:val="00000A"/>
          <w:sz w:val="24"/>
          <w:szCs w:val="24"/>
        </w:rPr>
        <w:t>6) Incentivar capacitações sobre transferências de tecnologia e propriedade intelectual.</w:t>
      </w:r>
    </w:p>
    <w:p>
      <w:pPr>
        <w:pStyle w:val="Normal"/>
        <w:jc w:val="both"/>
        <w:rPr>
          <w:color w:val="00000A"/>
        </w:rPr>
      </w:pPr>
      <w:r>
        <w:rPr>
          <w:rFonts w:cs="Arial" w:ascii="Arial" w:hAnsi="Arial"/>
          <w:color w:val="00000A"/>
          <w:sz w:val="24"/>
          <w:szCs w:val="24"/>
        </w:rPr>
        <w:t>7) Qualificar o processo de construção da produção científica com a finalidade de publicação em periódicos de maior impacto científico.</w:t>
      </w:r>
    </w:p>
    <w:p>
      <w:pPr>
        <w:pStyle w:val="Normal"/>
        <w:jc w:val="both"/>
        <w:rPr>
          <w:color w:val="00000A"/>
        </w:rPr>
      </w:pPr>
      <w:r>
        <w:rPr>
          <w:rFonts w:cs="Arial" w:ascii="Arial" w:hAnsi="Arial"/>
          <w:color w:val="00000A"/>
          <w:sz w:val="24"/>
          <w:szCs w:val="24"/>
        </w:rPr>
        <w:t>8) Qualificar a estrutura e gestão da Revista científica do CEFD.</w:t>
      </w:r>
    </w:p>
    <w:p>
      <w:pPr>
        <w:pStyle w:val="Normal"/>
        <w:suppressAutoHyphens w:val="true"/>
        <w:spacing w:lineRule="auto" w:line="360" w:before="0" w:after="0"/>
        <w:jc w:val="both"/>
        <w:rPr>
          <w:color w:val="00000A"/>
        </w:rPr>
      </w:pPr>
      <w:r>
        <w:rPr>
          <w:rFonts w:eastAsia="SimSun" w:cs="Arial" w:ascii="Arial" w:hAnsi="Arial"/>
          <w:color w:val="00000A"/>
          <w:sz w:val="24"/>
          <w:szCs w:val="24"/>
          <w:lang w:eastAsia="zh-CN" w:bidi="hi-IN"/>
        </w:rPr>
        <w:t>9) Protagonizar a comunicação do CEFD com seus diversos públicos, por meio do sitio institucional e das redes sociais.</w:t>
      </w:r>
    </w:p>
    <w:p>
      <w:pPr>
        <w:pStyle w:val="Normal"/>
        <w:suppressAutoHyphens w:val="true"/>
        <w:spacing w:lineRule="auto" w:line="360" w:before="0" w:after="0"/>
        <w:jc w:val="both"/>
        <w:rPr>
          <w:color w:val="00000A"/>
        </w:rPr>
      </w:pPr>
      <w:r>
        <w:rPr>
          <w:rFonts w:eastAsia="SimSun" w:cs="Arial" w:ascii="Arial" w:hAnsi="Arial"/>
          <w:color w:val="00000A"/>
          <w:sz w:val="24"/>
          <w:szCs w:val="24"/>
          <w:lang w:eastAsia="zh-CN" w:bidi="hi-IN"/>
        </w:rPr>
        <w:t>10) desenvolver meios específicos de divulgação interna e externa da produção científica e das ações de ensino e extensão do CEFD.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 w:eastAsia="Times New Roman" w:cs="Arial"/>
          <w:color w:val="00000A"/>
          <w:sz w:val="24"/>
          <w:szCs w:val="24"/>
          <w:lang w:eastAsia="pt-BR"/>
        </w:rPr>
      </w:pPr>
      <w:r>
        <w:rPr>
          <w:rFonts w:eastAsia="Times New Roman" w:cs="Arial" w:ascii="Arial" w:hAnsi="Arial"/>
          <w:color w:val="00000A"/>
          <w:sz w:val="24"/>
          <w:szCs w:val="24"/>
          <w:lang w:eastAsia="pt-BR"/>
        </w:rPr>
        <w:t>11) Incentivar estudos que desenvolvam processos inovadores na atenção a pessoa idosa.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color w:val="00000A"/>
        </w:rPr>
      </w:pPr>
      <w:r>
        <w:rPr>
          <w:color w:val="00000A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color w:val="00000A"/>
        </w:rPr>
      </w:pPr>
      <w:r>
        <w:rPr>
          <w:rFonts w:eastAsia="Times New Roman" w:cs="Arial" w:ascii="Arial" w:hAnsi="Arial"/>
          <w:color w:val="00000A"/>
          <w:sz w:val="24"/>
          <w:szCs w:val="24"/>
          <w:lang w:eastAsia="pt-BR"/>
        </w:rPr>
        <w:t>12) Incentivar o desenvolvimento de patentes na área gerontológica.</w:t>
      </w:r>
    </w:p>
    <w:p>
      <w:pPr>
        <w:pStyle w:val="Normal"/>
        <w:suppressAutoHyphens w:val="true"/>
        <w:spacing w:lineRule="auto" w:line="360" w:before="0" w:after="0"/>
        <w:jc w:val="both"/>
        <w:textAlignment w:val="baseline"/>
        <w:rPr>
          <w:rFonts w:ascii="Arial" w:hAnsi="Arial" w:eastAsia="NSimSun" w:cs="Arial"/>
          <w:bCs/>
          <w:color w:val="00000A"/>
          <w:sz w:val="24"/>
          <w:szCs w:val="24"/>
          <w:lang w:eastAsia="zh-CN" w:bidi="hi-IN"/>
        </w:rPr>
      </w:pPr>
      <w:r>
        <w:rPr>
          <w:rFonts w:eastAsia="NSimSun" w:cs="Arial" w:ascii="Arial" w:hAnsi="Arial"/>
          <w:bCs/>
          <w:color w:val="00000A"/>
          <w:sz w:val="24"/>
          <w:szCs w:val="24"/>
          <w:lang w:eastAsia="zh-CN" w:bidi="hi-IN"/>
        </w:rPr>
      </w:r>
    </w:p>
    <w:p>
      <w:pPr>
        <w:pStyle w:val="Normal"/>
        <w:suppressAutoHyphens w:val="true"/>
        <w:spacing w:lineRule="auto" w:line="360" w:before="0" w:after="0"/>
        <w:jc w:val="both"/>
        <w:textAlignment w:val="baseline"/>
        <w:rPr>
          <w:color w:val="00000A"/>
        </w:rPr>
      </w:pPr>
      <w:r>
        <w:rPr>
          <w:rFonts w:eastAsia="NSimSun" w:cs="Arial" w:ascii="Arial" w:hAnsi="Arial"/>
          <w:bCs/>
          <w:color w:val="00000A"/>
          <w:sz w:val="24"/>
          <w:szCs w:val="24"/>
          <w:lang w:eastAsia="zh-CN" w:bidi="hi-IN"/>
        </w:rPr>
        <w:t>13) Desenvolver processos e rotinas de trabalho que considerem a realidade multi-campi e os diferentes níveis de ensino.</w:t>
      </w:r>
    </w:p>
    <w:p>
      <w:pPr>
        <w:pStyle w:val="Normal"/>
        <w:suppressAutoHyphens w:val="true"/>
        <w:spacing w:lineRule="auto" w:line="360" w:before="0" w:after="0"/>
        <w:jc w:val="both"/>
        <w:textAlignment w:val="baseline"/>
        <w:rPr>
          <w:color w:val="00000A"/>
        </w:rPr>
      </w:pPr>
      <w:r>
        <w:rPr>
          <w:rFonts w:eastAsia="NSimSun" w:cs="Arial" w:ascii="Arial" w:hAnsi="Arial"/>
          <w:bCs/>
          <w:color w:val="00000A"/>
          <w:sz w:val="24"/>
          <w:szCs w:val="24"/>
          <w:lang w:eastAsia="zh-CN" w:bidi="hi-IN"/>
        </w:rPr>
        <w:t>14) Oferecer uma infraestrutura de apoio qualificada e de acordo com as necessidades de cada área de conhecimento.</w:t>
      </w:r>
    </w:p>
    <w:p>
      <w:pPr>
        <w:pStyle w:val="Normal"/>
        <w:jc w:val="both"/>
        <w:rPr>
          <w:rFonts w:ascii="Arial" w:hAnsi="Arial"/>
          <w:color w:val="00000A"/>
          <w:sz w:val="24"/>
          <w:szCs w:val="24"/>
        </w:rPr>
      </w:pPr>
      <w:r>
        <w:rPr>
          <w:rFonts w:ascii="Arial" w:hAnsi="Arial"/>
          <w:color w:val="00000A"/>
        </w:rPr>
        <w:t xml:space="preserve">15) </w:t>
      </w:r>
      <w:r>
        <w:rPr>
          <w:rFonts w:ascii="Arial" w:hAnsi="Arial"/>
          <w:color w:val="00000A"/>
          <w:sz w:val="24"/>
          <w:szCs w:val="24"/>
        </w:rPr>
        <w:t>Buscar oportunidades de financiamento em instituições, ministérios, agências de fomento e empresas que ofereçam chamadas públicas para qualificação dos laboratórios, custeio de pesquisas, bem como, bolsas para pesquisadores.</w:t>
      </w:r>
    </w:p>
    <w:p>
      <w:pPr>
        <w:pStyle w:val="Normal"/>
        <w:jc w:val="both"/>
        <w:rPr>
          <w:color w:val="00000A"/>
        </w:rPr>
      </w:pPr>
      <w:r>
        <w:rPr>
          <w:color w:val="00000A"/>
        </w:rPr>
      </w:r>
    </w:p>
    <w:p>
      <w:pPr>
        <w:pStyle w:val="Normal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Modernização e Desenvolvimento organizacional (D5)</w:t>
      </w:r>
    </w:p>
    <w:p>
      <w:pPr>
        <w:pStyle w:val="Normal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ind w:firstLine="708"/>
        <w:jc w:val="both"/>
        <w:rPr/>
      </w:pPr>
      <w:r>
        <w:rPr>
          <w:rFonts w:cs="Arial" w:ascii="Arial" w:hAnsi="Arial"/>
          <w:sz w:val="24"/>
          <w:szCs w:val="24"/>
        </w:rPr>
        <w:t>Para a Modernização e Desenvolvimento organizacional</w:t>
      </w:r>
      <w:r>
        <w:rPr>
          <w:rFonts w:cs="Arial" w:ascii="Arial" w:hAnsi="Arial"/>
          <w:b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foram propostos 27 objetivos conforme abaixo.</w:t>
      </w:r>
    </w:p>
    <w:p>
      <w:pPr>
        <w:pStyle w:val="Normal"/>
        <w:jc w:val="both"/>
        <w:rPr>
          <w:color w:val="00000A"/>
        </w:rPr>
      </w:pPr>
      <w:r>
        <w:rPr>
          <w:rFonts w:cs="Arial" w:ascii="Arial" w:hAnsi="Arial"/>
          <w:color w:val="00000A"/>
          <w:sz w:val="24"/>
          <w:szCs w:val="24"/>
        </w:rPr>
        <w:t>1) Realizar levantamento de necessidades de acessibilidade e sustentabilidade.</w:t>
      </w:r>
    </w:p>
    <w:p>
      <w:pPr>
        <w:pStyle w:val="Normal"/>
        <w:jc w:val="both"/>
        <w:rPr>
          <w:color w:val="00000A"/>
        </w:rPr>
      </w:pPr>
      <w:r>
        <w:rPr>
          <w:rFonts w:cs="Arial" w:ascii="Arial" w:hAnsi="Arial"/>
          <w:color w:val="00000A"/>
          <w:sz w:val="24"/>
          <w:szCs w:val="24"/>
        </w:rPr>
        <w:t xml:space="preserve">2)  Desenvolver uma cultura de comprometimento organizacional. </w:t>
      </w:r>
    </w:p>
    <w:p>
      <w:pPr>
        <w:pStyle w:val="Normal"/>
        <w:jc w:val="both"/>
        <w:rPr>
          <w:color w:val="00000A"/>
        </w:rPr>
      </w:pPr>
      <w:r>
        <w:rPr>
          <w:rFonts w:cs="Arial" w:ascii="Arial" w:hAnsi="Arial"/>
          <w:color w:val="00000A"/>
          <w:sz w:val="24"/>
          <w:szCs w:val="24"/>
        </w:rPr>
        <w:t>3) Capacitar docentes e técnicos para atuar em projetos com repasses de recursos.</w:t>
      </w:r>
    </w:p>
    <w:p>
      <w:pPr>
        <w:pStyle w:val="Normal"/>
        <w:jc w:val="both"/>
        <w:rPr>
          <w:color w:val="00000A"/>
        </w:rPr>
      </w:pPr>
      <w:r>
        <w:rPr>
          <w:rFonts w:cs="Arial" w:ascii="Arial" w:hAnsi="Arial"/>
          <w:color w:val="00000A"/>
          <w:sz w:val="24"/>
          <w:szCs w:val="24"/>
        </w:rPr>
        <w:t>4) Aprofundar a utilização das tecnologias da informação.</w:t>
      </w:r>
    </w:p>
    <w:p>
      <w:pPr>
        <w:pStyle w:val="Normal"/>
        <w:jc w:val="both"/>
        <w:rPr>
          <w:color w:val="00000A"/>
        </w:rPr>
      </w:pPr>
      <w:r>
        <w:rPr>
          <w:rFonts w:cs="Arial" w:ascii="Arial" w:hAnsi="Arial"/>
          <w:color w:val="00000A"/>
          <w:sz w:val="24"/>
          <w:szCs w:val="24"/>
        </w:rPr>
        <w:t>5) Padronizar a formalização de processos burocráticos nas rotinas administrativas.</w:t>
      </w:r>
    </w:p>
    <w:p>
      <w:pPr>
        <w:pStyle w:val="Normal"/>
        <w:jc w:val="both"/>
        <w:rPr>
          <w:color w:val="00000A"/>
        </w:rPr>
      </w:pPr>
      <w:r>
        <w:rPr>
          <w:rFonts w:cs="Arial" w:ascii="Arial" w:hAnsi="Arial"/>
          <w:color w:val="00000A"/>
          <w:sz w:val="24"/>
          <w:szCs w:val="24"/>
        </w:rPr>
        <w:t>6) Modernizar a infraestrutura de TI para suportar as necessidades acadêmicas e administrativas.</w:t>
      </w:r>
    </w:p>
    <w:p>
      <w:pPr>
        <w:pStyle w:val="Normal"/>
        <w:suppressAutoHyphens w:val="true"/>
        <w:spacing w:lineRule="auto" w:line="360" w:before="0" w:after="0"/>
        <w:jc w:val="both"/>
        <w:rPr/>
      </w:pPr>
      <w:r>
        <w:rPr>
          <w:rFonts w:eastAsia="SimSun" w:cs="Arial" w:ascii="Arial" w:hAnsi="Arial"/>
          <w:sz w:val="24"/>
          <w:szCs w:val="24"/>
          <w:lang w:eastAsia="zh-CN" w:bidi="hi-IN"/>
        </w:rPr>
        <w:t>7) Informar a comunidade interna sobre as mudanças, demandas e orientações institucionais.</w:t>
      </w:r>
    </w:p>
    <w:p>
      <w:pPr>
        <w:pStyle w:val="Normal"/>
        <w:suppressAutoHyphens w:val="true"/>
        <w:spacing w:lineRule="auto" w:line="360" w:before="0" w:after="0"/>
        <w:jc w:val="both"/>
        <w:rPr/>
      </w:pPr>
      <w:r>
        <w:rPr>
          <w:rFonts w:eastAsia="SimSun" w:cs="Arial" w:ascii="Arial" w:hAnsi="Arial"/>
          <w:sz w:val="24"/>
          <w:szCs w:val="24"/>
          <w:lang w:eastAsia="zh-CN" w:bidi="hi-IN"/>
        </w:rPr>
        <w:t>8) Auxiliar as subunidades na divulgação de seus atos e demandas.</w:t>
      </w:r>
    </w:p>
    <w:p>
      <w:pPr>
        <w:pStyle w:val="Normal"/>
        <w:suppressAutoHyphens w:val="true"/>
        <w:spacing w:lineRule="auto" w:line="360" w:before="0" w:after="0"/>
        <w:jc w:val="both"/>
        <w:rPr>
          <w:rFonts w:ascii="Arial" w:hAnsi="Arial"/>
        </w:rPr>
      </w:pPr>
      <w:r>
        <w:rPr>
          <w:rFonts w:ascii="Arial" w:hAnsi="Arial"/>
        </w:rPr>
        <w:t>9) A</w:t>
      </w:r>
      <w:r>
        <w:rPr>
          <w:rFonts w:eastAsia="SimSun" w:cs="Arial" w:ascii="Arial" w:hAnsi="Arial"/>
          <w:sz w:val="24"/>
          <w:szCs w:val="24"/>
          <w:lang w:eastAsia="zh-CN" w:bidi="hi-IN"/>
        </w:rPr>
        <w:t>uxiliar as subunidades e docentes quanto ao uso de instrumentos comunicacionais que beneficiem suas ações.</w:t>
      </w:r>
    </w:p>
    <w:p>
      <w:pPr>
        <w:pStyle w:val="Normal"/>
        <w:jc w:val="both"/>
        <w:rPr>
          <w:rFonts w:ascii="Arial" w:hAnsi="Arial"/>
        </w:rPr>
      </w:pPr>
      <w:r>
        <w:rPr>
          <w:rFonts w:cs="Arial" w:ascii="Arial" w:hAnsi="Arial"/>
          <w:sz w:val="24"/>
          <w:szCs w:val="24"/>
        </w:rPr>
        <w:t xml:space="preserve">10) </w:t>
      </w:r>
      <w:r>
        <w:rPr>
          <w:rFonts w:eastAsia="Times New Roman" w:cs="Arial" w:ascii="Arial" w:hAnsi="Arial"/>
          <w:color w:val="222222"/>
          <w:sz w:val="24"/>
          <w:szCs w:val="24"/>
          <w:lang w:eastAsia="pt-BR"/>
        </w:rPr>
        <w:t>Consolidar o PPG em Gerontologia de modo que consiga aumentar o conceito da CAPES de 3 para 4.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Arial" w:ascii="Arial" w:hAnsi="Arial"/>
          <w:color w:val="222222"/>
          <w:sz w:val="24"/>
          <w:szCs w:val="24"/>
          <w:lang w:eastAsia="pt-BR"/>
        </w:rPr>
        <w:t>11) Desenvolver mecanismos para otimizar a obtenção de informações necessárias ao PPG em Gerontologia.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 w:eastAsia="Times New Roman" w:cs="Arial"/>
          <w:color w:val="222222"/>
          <w:sz w:val="24"/>
          <w:szCs w:val="24"/>
          <w:lang w:eastAsia="pt-BR"/>
        </w:rPr>
      </w:pPr>
      <w:r>
        <w:rPr>
          <w:rFonts w:eastAsia="Times New Roman" w:cs="Arial" w:ascii="Arial" w:hAnsi="Arial"/>
          <w:color w:val="222222"/>
          <w:sz w:val="24"/>
          <w:szCs w:val="24"/>
          <w:lang w:eastAsia="pt-BR"/>
        </w:rPr>
      </w:r>
    </w:p>
    <w:p>
      <w:pPr>
        <w:pStyle w:val="Normal"/>
        <w:suppressAutoHyphens w:val="true"/>
        <w:spacing w:lineRule="auto" w:line="360" w:before="0" w:after="0"/>
        <w:jc w:val="both"/>
        <w:textAlignment w:val="baseline"/>
        <w:rPr/>
      </w:pPr>
      <w:r>
        <w:rPr>
          <w:rFonts w:eastAsia="NSimSun" w:cs="Arial" w:ascii="Arial" w:hAnsi="Arial"/>
          <w:bCs/>
          <w:color w:val="222222"/>
          <w:sz w:val="24"/>
          <w:szCs w:val="24"/>
          <w:lang w:eastAsia="zh-CN" w:bidi="hi-IN"/>
        </w:rPr>
        <w:t>12) Desenvolver processos e rotinas de trabalho que considerem a realidade multi-campi e os diferentes níveis de ensino.</w:t>
      </w:r>
    </w:p>
    <w:p>
      <w:pPr>
        <w:pStyle w:val="Normal"/>
        <w:suppressAutoHyphens w:val="true"/>
        <w:spacing w:lineRule="auto" w:line="360" w:before="0" w:after="0"/>
        <w:jc w:val="both"/>
        <w:textAlignment w:val="baseline"/>
        <w:rPr/>
      </w:pPr>
      <w:r>
        <w:rPr>
          <w:rFonts w:eastAsia="NSimSun" w:cs="Arial" w:ascii="Arial" w:hAnsi="Arial"/>
          <w:bCs/>
          <w:color w:val="222222"/>
          <w:sz w:val="24"/>
          <w:szCs w:val="24"/>
          <w:lang w:eastAsia="zh-CN" w:bidi="hi-IN"/>
        </w:rPr>
        <w:t>13) Desenvolver uma cultura de comprometimento organizacional.</w:t>
      </w:r>
    </w:p>
    <w:p>
      <w:pPr>
        <w:pStyle w:val="Normal"/>
        <w:suppressAutoHyphens w:val="true"/>
        <w:spacing w:lineRule="auto" w:line="360" w:before="0" w:after="0"/>
        <w:jc w:val="both"/>
        <w:textAlignment w:val="baseline"/>
        <w:rPr/>
      </w:pPr>
      <w:r>
        <w:rPr>
          <w:rFonts w:eastAsia="NSimSun" w:cs="Arial" w:ascii="Arial" w:hAnsi="Arial"/>
          <w:bCs/>
          <w:color w:val="222222"/>
          <w:sz w:val="24"/>
          <w:szCs w:val="24"/>
          <w:lang w:eastAsia="zh-CN" w:bidi="hi-IN"/>
        </w:rPr>
        <w:t>14) Desenvolver uma gestão orçamentária transparente, eficiente e alinhada à estratégia institucional.</w:t>
      </w:r>
    </w:p>
    <w:p>
      <w:pPr>
        <w:pStyle w:val="Normal"/>
        <w:jc w:val="both"/>
        <w:rPr/>
      </w:pPr>
      <w:r>
        <w:rPr>
          <w:rFonts w:cs="Arial" w:ascii="Arial" w:hAnsi="Arial"/>
          <w:sz w:val="24"/>
          <w:szCs w:val="24"/>
        </w:rPr>
        <w:t>15) Elaborar, anualmente, a divisão orçamentária, conforme estrutura administrativa do Centro e cenário econômico da UFSM, comunicando aos interessados.</w:t>
      </w:r>
    </w:p>
    <w:p>
      <w:pPr>
        <w:pStyle w:val="Normal"/>
        <w:jc w:val="both"/>
        <w:rPr/>
      </w:pPr>
      <w:r>
        <w:rPr>
          <w:rFonts w:cs="Arial" w:ascii="Arial" w:hAnsi="Arial"/>
          <w:sz w:val="24"/>
          <w:szCs w:val="24"/>
        </w:rPr>
        <w:t>16) Manter atualizada a planilha de execução orçamentária, permitindo que haja transparência na utilização dos recursos e acesso rápido às informações orçamentárias de cada unidade e subunidade do CEFD.</w:t>
      </w:r>
    </w:p>
    <w:p>
      <w:pPr>
        <w:pStyle w:val="Normal"/>
        <w:jc w:val="both"/>
        <w:rPr/>
      </w:pPr>
      <w:r>
        <w:rPr>
          <w:rFonts w:cs="Arial" w:ascii="Arial" w:hAnsi="Arial"/>
          <w:sz w:val="24"/>
          <w:szCs w:val="24"/>
        </w:rPr>
        <w:t>17) Executar e controlar o orçamento destinado à Direção e unidades vinculadas a ela.</w:t>
      </w:r>
    </w:p>
    <w:p>
      <w:pPr>
        <w:pStyle w:val="Normal"/>
        <w:jc w:val="both"/>
        <w:rPr/>
      </w:pPr>
      <w:r>
        <w:rPr>
          <w:rFonts w:cs="Arial" w:ascii="Arial" w:hAnsi="Arial"/>
          <w:sz w:val="24"/>
          <w:szCs w:val="24"/>
        </w:rPr>
        <w:t>18) Certificar e dar os encaminhamentos necessários para o pagamento de notas fiscais e faturas que chegarem ao núcleo, o mais rápido possível, evitando assim atrasos e pagamentos de multas.</w:t>
      </w:r>
    </w:p>
    <w:p>
      <w:pPr>
        <w:pStyle w:val="Normal"/>
        <w:jc w:val="both"/>
        <w:rPr/>
      </w:pPr>
      <w:r>
        <w:rPr>
          <w:rFonts w:cs="Arial" w:ascii="Arial" w:hAnsi="Arial"/>
          <w:sz w:val="24"/>
          <w:szCs w:val="24"/>
        </w:rPr>
        <w:t>19) Manter um controle eletrônico com o NINFRA dos pedidos e empenhos feitos relacionados à PROINFRA, permitindo que cada um dos núcleos possa saber o que já foi feito, e como está o andamento das solicitações.</w:t>
      </w:r>
    </w:p>
    <w:p>
      <w:pPr>
        <w:pStyle w:val="Normal"/>
        <w:jc w:val="both"/>
        <w:rPr/>
      </w:pPr>
      <w:r>
        <w:rPr>
          <w:rFonts w:cs="Arial" w:ascii="Arial" w:hAnsi="Arial"/>
          <w:sz w:val="24"/>
          <w:szCs w:val="24"/>
        </w:rPr>
        <w:t>20) Manter os servidores do NUECO atualizados com as legislações e normativas pertinentes, através da participação em cursos de aperfeiçoamento.</w:t>
      </w:r>
    </w:p>
    <w:p>
      <w:pPr>
        <w:pStyle w:val="Normal"/>
        <w:jc w:val="both"/>
        <w:rPr/>
      </w:pPr>
      <w:r>
        <w:rPr>
          <w:rFonts w:cs="Arial" w:ascii="Arial" w:hAnsi="Arial"/>
          <w:sz w:val="24"/>
          <w:szCs w:val="24"/>
        </w:rPr>
        <w:t>21) Manter o almoxarifado da Direção sempre em dia, através da compra de materiais de expediente e higiene, do Almoxarifado Central, evitando que as atividades diárias sejam afetadas por falta desses.</w:t>
      </w:r>
    </w:p>
    <w:p>
      <w:pPr>
        <w:pStyle w:val="Normal"/>
        <w:jc w:val="both"/>
        <w:rPr/>
      </w:pPr>
      <w:r>
        <w:rPr>
          <w:rFonts w:cs="Arial" w:ascii="Arial" w:hAnsi="Arial"/>
          <w:sz w:val="24"/>
          <w:szCs w:val="24"/>
        </w:rPr>
        <w:t>22) Executar todas diárias e passagens, pertinentes ao SCDP, atentando para as prestações de contas, e fazendo as cobranças necessárias aos propostos.</w:t>
      </w:r>
    </w:p>
    <w:p>
      <w:pPr>
        <w:pStyle w:val="Normal"/>
        <w:jc w:val="both"/>
        <w:rPr/>
      </w:pPr>
      <w:r>
        <w:rPr>
          <w:rFonts w:cs="Arial" w:ascii="Arial" w:hAnsi="Arial"/>
          <w:color w:val="00000A"/>
          <w:sz w:val="24"/>
          <w:szCs w:val="24"/>
        </w:rPr>
        <w:t xml:space="preserve">23) </w:t>
      </w:r>
      <w:r>
        <w:rPr>
          <w:rFonts w:cs="Arial" w:ascii="Arial" w:hAnsi="Arial"/>
          <w:sz w:val="24"/>
          <w:szCs w:val="24"/>
        </w:rPr>
        <w:t>Zelar pela melhor aplicação dos recursos públicos, evitando desperdícios, através de aconselhamentos e disponibilização de informações necessárias.</w:t>
      </w:r>
    </w:p>
    <w:p>
      <w:pPr>
        <w:pStyle w:val="Standard"/>
        <w:jc w:val="both"/>
        <w:rPr>
          <w:rFonts w:ascii="Arial" w:hAnsi="Arial"/>
          <w:color w:val="1D2228"/>
        </w:rPr>
      </w:pPr>
      <w:r>
        <w:rPr>
          <w:rFonts w:ascii="Arial" w:hAnsi="Arial"/>
          <w:color w:val="1D2228"/>
        </w:rPr>
        <w:t>24) Trabalhar junto aos outros GAPs, Proplan e CPD no contínuo aperfeiçoamento do SIE-Web, que engloba os Portais de Projetos, de Editais e Bolsas para Projetos, entre outros.</w:t>
      </w:r>
    </w:p>
    <w:p>
      <w:pPr>
        <w:pStyle w:val="Standard"/>
        <w:jc w:val="both"/>
        <w:rPr/>
      </w:pPr>
      <w:r>
        <w:rPr/>
      </w:r>
    </w:p>
    <w:p>
      <w:pPr>
        <w:pStyle w:val="Standard"/>
        <w:jc w:val="both"/>
        <w:rPr>
          <w:rFonts w:ascii="Arial" w:hAnsi="Arial"/>
          <w:color w:val="1D2228"/>
        </w:rPr>
      </w:pPr>
      <w:r>
        <w:rPr>
          <w:rFonts w:ascii="Arial" w:hAnsi="Arial"/>
          <w:color w:val="1D2228"/>
        </w:rPr>
        <w:t>25) Buscar sempre a maior digitalização dos processos e rotinas relativas aos projetos.</w:t>
      </w:r>
    </w:p>
    <w:p>
      <w:pPr>
        <w:pStyle w:val="Standard"/>
        <w:jc w:val="both"/>
        <w:rPr/>
      </w:pPr>
      <w:r>
        <w:rPr/>
      </w:r>
    </w:p>
    <w:p>
      <w:pPr>
        <w:pStyle w:val="Standard"/>
        <w:jc w:val="both"/>
        <w:rPr>
          <w:rFonts w:ascii="Arial" w:hAnsi="Arial"/>
          <w:color w:val="1D2228"/>
        </w:rPr>
      </w:pPr>
      <w:r>
        <w:rPr>
          <w:rFonts w:ascii="Arial" w:hAnsi="Arial"/>
          <w:color w:val="1D2228"/>
        </w:rPr>
        <w:t>26) Mobilizar docentes responsáveis pelos projetos para que mantenham atualizados os dados de Registro e Avaliação dos Projetos.</w:t>
      </w:r>
    </w:p>
    <w:p>
      <w:pPr>
        <w:pStyle w:val="Standard"/>
        <w:jc w:val="both"/>
        <w:rPr/>
      </w:pPr>
      <w:r>
        <w:rPr/>
      </w:r>
    </w:p>
    <w:p>
      <w:pPr>
        <w:pStyle w:val="Standard"/>
        <w:jc w:val="both"/>
        <w:rPr/>
      </w:pPr>
      <w:r>
        <w:rPr>
          <w:rFonts w:ascii="Arial" w:hAnsi="Arial"/>
          <w:color w:val="1D2228"/>
        </w:rPr>
        <w:t>27) Representar o CEFD nos fóruns e demais comissões representativas em nível institucional;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/>
      </w:pPr>
      <w:r>
        <w:rPr>
          <w:rFonts w:cs="Arial" w:ascii="Arial" w:hAnsi="Arial"/>
          <w:b/>
          <w:color w:val="00000A"/>
          <w:sz w:val="24"/>
          <w:szCs w:val="24"/>
        </w:rPr>
        <w:t>Desenvolvimento Local, Regional e Nacional (D6)</w:t>
      </w:r>
    </w:p>
    <w:p>
      <w:pPr>
        <w:pStyle w:val="Normal"/>
        <w:rPr>
          <w:rFonts w:ascii="Arial" w:hAnsi="Arial" w:cs="Arial"/>
          <w:b/>
          <w:b/>
          <w:color w:val="00000A"/>
          <w:sz w:val="24"/>
          <w:szCs w:val="24"/>
        </w:rPr>
      </w:pPr>
      <w:r>
        <w:rPr>
          <w:rFonts w:cs="Arial" w:ascii="Arial" w:hAnsi="Arial"/>
          <w:b/>
          <w:color w:val="00000A"/>
          <w:sz w:val="24"/>
          <w:szCs w:val="24"/>
        </w:rPr>
      </w:r>
    </w:p>
    <w:p>
      <w:pPr>
        <w:pStyle w:val="Normal"/>
        <w:ind w:firstLine="708"/>
        <w:rPr/>
      </w:pPr>
      <w:r>
        <w:rPr>
          <w:rFonts w:cs="Arial" w:ascii="Arial" w:hAnsi="Arial"/>
          <w:sz w:val="24"/>
          <w:szCs w:val="24"/>
        </w:rPr>
        <w:t xml:space="preserve">Para o </w:t>
      </w:r>
      <w:r>
        <w:rPr>
          <w:rFonts w:cs="Arial" w:ascii="Arial" w:hAnsi="Arial"/>
          <w:color w:val="00000A"/>
          <w:sz w:val="24"/>
          <w:szCs w:val="24"/>
        </w:rPr>
        <w:t>Desenvolvimento Local, Regional e</w:t>
      </w:r>
      <w:r>
        <w:rPr>
          <w:rFonts w:cs="Arial" w:ascii="Arial" w:hAnsi="Arial"/>
          <w:b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Nacional</w:t>
      </w:r>
      <w:r>
        <w:rPr>
          <w:rFonts w:cs="Arial" w:ascii="Arial" w:hAnsi="Arial"/>
          <w:sz w:val="24"/>
          <w:szCs w:val="24"/>
        </w:rPr>
        <w:t xml:space="preserve"> foram propostos 14 objetivos conforme abaixo.</w:t>
      </w:r>
    </w:p>
    <w:p>
      <w:pPr>
        <w:pStyle w:val="Normal"/>
        <w:rPr>
          <w:b/>
          <w:b/>
          <w:color w:val="00000A"/>
        </w:rPr>
      </w:pPr>
      <w:r>
        <w:rPr>
          <w:b/>
          <w:color w:val="00000A"/>
        </w:rPr>
      </w:r>
    </w:p>
    <w:p>
      <w:pPr>
        <w:pStyle w:val="Normal"/>
        <w:jc w:val="both"/>
        <w:rPr>
          <w:color w:val="00000A"/>
        </w:rPr>
      </w:pPr>
      <w:r>
        <w:rPr>
          <w:rFonts w:cs="Arial" w:ascii="Arial" w:hAnsi="Arial"/>
          <w:color w:val="00000A"/>
          <w:sz w:val="24"/>
          <w:szCs w:val="24"/>
        </w:rPr>
        <w:t>1) Identificar, construir e manter relações com lideranças locais e regionais, buscando aproximar a Universidade e os diferentes segmentos da sociedade.</w:t>
      </w:r>
    </w:p>
    <w:p>
      <w:pPr>
        <w:pStyle w:val="Normal"/>
        <w:jc w:val="both"/>
        <w:rPr>
          <w:color w:val="00000A"/>
        </w:rPr>
      </w:pPr>
      <w:r>
        <w:rPr>
          <w:rFonts w:cs="Arial" w:ascii="Arial" w:hAnsi="Arial"/>
          <w:color w:val="00000A"/>
          <w:sz w:val="24"/>
          <w:szCs w:val="24"/>
        </w:rPr>
        <w:t>2) Identificar e aprofundar ações de pesquisa entre o CEFD com instituições públicas e privadas como academias, ONGS, Clubes, Associações comunitárias, Ligas, Instituições de Ensino, Prefeituras, entre outros.</w:t>
      </w:r>
    </w:p>
    <w:p>
      <w:pPr>
        <w:pStyle w:val="Normal"/>
        <w:jc w:val="both"/>
        <w:rPr>
          <w:color w:val="00000A"/>
        </w:rPr>
      </w:pPr>
      <w:r>
        <w:rPr>
          <w:rFonts w:cs="Arial" w:ascii="Arial" w:hAnsi="Arial"/>
          <w:color w:val="00000A"/>
          <w:sz w:val="24"/>
          <w:szCs w:val="24"/>
        </w:rPr>
        <w:t>3) Fomentar o planejamento e a realização de eventos que visem o compartilhar de saberes entre as diferentes áreas do CEFD a partir do ensino, da pesquisa e da extensão: esportivos, artísticos e culturais.</w:t>
      </w:r>
    </w:p>
    <w:p>
      <w:pPr>
        <w:pStyle w:val="Normal"/>
        <w:jc w:val="both"/>
        <w:rPr>
          <w:color w:val="00000A"/>
        </w:rPr>
      </w:pPr>
      <w:r>
        <w:rPr>
          <w:rFonts w:cs="Arial" w:ascii="Arial" w:hAnsi="Arial"/>
          <w:color w:val="00000A"/>
          <w:sz w:val="24"/>
          <w:szCs w:val="24"/>
        </w:rPr>
        <w:t xml:space="preserve">4) Oportunizar o diálogo com autores de referência nas áreas de atuação do CEFD a partir da realização de eventos </w:t>
      </w:r>
    </w:p>
    <w:p>
      <w:pPr>
        <w:pStyle w:val="Normal"/>
        <w:jc w:val="both"/>
        <w:rPr>
          <w:color w:val="00000A"/>
        </w:rPr>
      </w:pPr>
      <w:r>
        <w:rPr>
          <w:rFonts w:cs="Arial" w:ascii="Arial" w:hAnsi="Arial"/>
          <w:color w:val="00000A"/>
          <w:sz w:val="24"/>
          <w:szCs w:val="24"/>
        </w:rPr>
        <w:t>5) Incentivar e ampliar programas de formação continuada de Professores das redes pública e privada.</w:t>
      </w:r>
    </w:p>
    <w:p>
      <w:pPr>
        <w:pStyle w:val="Normal"/>
        <w:jc w:val="both"/>
        <w:rPr>
          <w:color w:val="00000A"/>
        </w:rPr>
      </w:pPr>
      <w:r>
        <w:rPr>
          <w:rFonts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6) Incentivar a participação das equipes esportivas e grupos e Companhias de Dança em eventos nacionais.</w:t>
      </w:r>
    </w:p>
    <w:p>
      <w:pPr>
        <w:pStyle w:val="Normal"/>
        <w:jc w:val="both"/>
        <w:rPr>
          <w:color w:val="00000A"/>
        </w:rPr>
      </w:pPr>
      <w:r>
        <w:rPr>
          <w:rFonts w:cs="Arial" w:ascii="Arial" w:hAnsi="Arial"/>
          <w:color w:val="00000A"/>
          <w:sz w:val="24"/>
          <w:szCs w:val="24"/>
        </w:rPr>
        <w:t>7) Aprofundar ações, em diferentes níveis, em parceria e diálogo com instituições da região central do RS.</w:t>
      </w:r>
    </w:p>
    <w:p>
      <w:pPr>
        <w:pStyle w:val="Normal"/>
        <w:suppressAutoHyphens w:val="true"/>
        <w:spacing w:lineRule="auto" w:line="240" w:before="0" w:after="0"/>
        <w:jc w:val="both"/>
        <w:rPr>
          <w:color w:val="00000A"/>
        </w:rPr>
      </w:pPr>
      <w:r>
        <w:rPr>
          <w:rFonts w:eastAsia="SimSun" w:cs="Arial" w:ascii="Arial" w:hAnsi="Arial"/>
          <w:color w:val="00000A"/>
          <w:sz w:val="24"/>
          <w:szCs w:val="24"/>
          <w:lang w:eastAsia="zh-CN" w:bidi="hi-IN"/>
        </w:rPr>
        <w:t xml:space="preserve">8) Desenvolver meios específicos de comunicação e </w:t>
      </w:r>
      <w:r>
        <w:rPr>
          <w:rFonts w:eastAsia="SimSun" w:cs="Arial" w:ascii="Arial" w:hAnsi="Arial"/>
          <w:i/>
          <w:iCs/>
          <w:color w:val="00000A"/>
          <w:sz w:val="24"/>
          <w:szCs w:val="24"/>
          <w:lang w:eastAsia="zh-CN" w:bidi="hi-IN"/>
        </w:rPr>
        <w:t>feedback</w:t>
      </w:r>
      <w:r>
        <w:rPr>
          <w:rFonts w:eastAsia="SimSun" w:cs="Arial" w:ascii="Arial" w:hAnsi="Arial"/>
          <w:color w:val="00000A"/>
          <w:sz w:val="24"/>
          <w:szCs w:val="24"/>
          <w:lang w:eastAsia="zh-CN" w:bidi="hi-IN"/>
        </w:rPr>
        <w:t xml:space="preserve"> com a comunidade externa  (visando a avaliar a atuação do CEFD e coletar as demandas que fomentarão futuras ações).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Arial" w:hAnsi="Arial" w:eastAsia="Times New Roman" w:cs="Arial"/>
          <w:color w:val="00000A"/>
          <w:sz w:val="24"/>
          <w:szCs w:val="24"/>
          <w:lang w:eastAsia="pt-BR"/>
        </w:rPr>
      </w:pPr>
      <w:r>
        <w:rPr>
          <w:rFonts w:eastAsia="Times New Roman" w:cs="Arial" w:ascii="Arial" w:hAnsi="Arial"/>
          <w:color w:val="00000A"/>
          <w:sz w:val="24"/>
          <w:szCs w:val="24"/>
          <w:lang w:eastAsia="pt-BR"/>
        </w:rPr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color w:val="00000A"/>
        </w:rPr>
      </w:pPr>
      <w:r>
        <w:rPr>
          <w:rFonts w:eastAsia="Times New Roman" w:cs="Arial" w:ascii="Arial" w:hAnsi="Arial"/>
          <w:color w:val="00000A"/>
          <w:sz w:val="24"/>
          <w:szCs w:val="24"/>
          <w:lang w:eastAsia="pt-BR"/>
        </w:rPr>
        <w:t>9) Incentivar a realização de projetos de extensão de âmbito local.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color w:val="00000A"/>
        </w:rPr>
      </w:pPr>
      <w:r>
        <w:rPr>
          <w:rFonts w:eastAsia="Times New Roman" w:cs="Arial" w:ascii="Arial" w:hAnsi="Arial"/>
          <w:color w:val="00000A"/>
          <w:sz w:val="24"/>
          <w:szCs w:val="24"/>
          <w:lang w:eastAsia="pt-BR"/>
        </w:rPr>
        <w:t>10) Incentivar projetos de Pesquisa de âmbito regional.</w:t>
      </w:r>
    </w:p>
    <w:p>
      <w:pPr>
        <w:pStyle w:val="Normal"/>
        <w:spacing w:lineRule="auto" w:line="360"/>
        <w:jc w:val="both"/>
        <w:rPr>
          <w:color w:val="00000A"/>
        </w:rPr>
      </w:pPr>
      <w:r>
        <w:rPr>
          <w:rFonts w:eastAsia="Times New Roman" w:cs="Arial" w:ascii="Arial" w:hAnsi="Arial"/>
          <w:color w:val="00000A"/>
          <w:sz w:val="24"/>
          <w:szCs w:val="24"/>
          <w:lang w:eastAsia="pt-BR"/>
        </w:rPr>
        <w:t>11) Promover eventos que propiciem transferência de conhecimento entre pesquisadores do Brasil.</w:t>
      </w:r>
    </w:p>
    <w:p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>12) Apoiar as iniciativas do CEFD para ações extensionistas.</w:t>
      </w:r>
    </w:p>
    <w:p>
      <w:pPr>
        <w:pStyle w:val="Standard"/>
        <w:jc w:val="both"/>
        <w:rPr/>
      </w:pPr>
      <w:r>
        <w:rPr/>
      </w:r>
    </w:p>
    <w:p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>13) Buscar fontes de financiamentos para alavancar e aperfeiçoar o histórico extensionista do CEFD.</w:t>
      </w:r>
    </w:p>
    <w:p>
      <w:pPr>
        <w:pStyle w:val="Standard"/>
        <w:jc w:val="both"/>
        <w:rPr/>
      </w:pPr>
      <w:r>
        <w:rPr/>
      </w:r>
    </w:p>
    <w:p>
      <w:pPr>
        <w:pStyle w:val="Standard"/>
        <w:jc w:val="both"/>
        <w:rPr/>
      </w:pPr>
      <w:r>
        <w:rPr>
          <w:rFonts w:ascii="Arial" w:hAnsi="Arial"/>
          <w:color w:val="1D2228"/>
        </w:rPr>
        <w:t>14) Trabalhar pela reabertura dos diversos projetos e ações voltados para a comunidade, que foram desativados com o fim da ADUFSM.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  <w:sz w:val="24"/>
          <w:szCs w:val="24"/>
        </w:rPr>
        <w:t>Gestão Ambiental (D7)</w:t>
      </w:r>
    </w:p>
    <w:p>
      <w:pPr>
        <w:pStyle w:val="Normal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ind w:firstLine="708"/>
        <w:rPr/>
      </w:pPr>
      <w:r>
        <w:rPr>
          <w:rFonts w:cs="Arial" w:ascii="Arial" w:hAnsi="Arial"/>
          <w:sz w:val="24"/>
          <w:szCs w:val="24"/>
        </w:rPr>
        <w:t>Para a Gestão Ambiental foram propostos 14 objetivos conforme abaixo.</w:t>
      </w:r>
    </w:p>
    <w:p>
      <w:pPr>
        <w:pStyle w:val="Normal"/>
        <w:ind w:firstLine="708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/>
      </w:pPr>
      <w:r>
        <w:rPr>
          <w:rFonts w:cs="Arial" w:ascii="Arial" w:hAnsi="Arial"/>
          <w:color w:val="00000A"/>
          <w:sz w:val="24"/>
          <w:szCs w:val="24"/>
        </w:rPr>
        <w:t>1) Estimular o desenvolvimento da cultura organizacional voltada para a sustentabilidade e institucionalização e divulgação das ações e práticas atualmente desenvolvidas.</w:t>
      </w:r>
    </w:p>
    <w:p>
      <w:pPr>
        <w:pStyle w:val="Normal"/>
        <w:jc w:val="both"/>
        <w:rPr>
          <w:color w:val="00000A"/>
          <w:sz w:val="24"/>
          <w:szCs w:val="24"/>
        </w:rPr>
      </w:pPr>
      <w:r>
        <w:rPr>
          <w:rFonts w:cs="Arial" w:ascii="Arial" w:hAnsi="Arial"/>
          <w:color w:val="00000A"/>
          <w:sz w:val="24"/>
          <w:szCs w:val="24"/>
        </w:rPr>
        <w:t>2) Estimular a realização de práticas corporais e esportivas relacionadas ao Meio Ambiente, Ecologia, Saúde Ambiental, Sustentabilidade em ações de Ensino, Pesquisa e Extensão.</w:t>
      </w:r>
    </w:p>
    <w:p>
      <w:pPr>
        <w:pStyle w:val="Normal"/>
        <w:jc w:val="both"/>
        <w:rPr>
          <w:color w:val="00000A"/>
          <w:sz w:val="24"/>
          <w:szCs w:val="24"/>
        </w:rPr>
      </w:pPr>
      <w:r>
        <w:rPr>
          <w:rFonts w:cs="Arial" w:ascii="Arial" w:hAnsi="Arial"/>
          <w:color w:val="00000A"/>
          <w:sz w:val="24"/>
          <w:szCs w:val="24"/>
        </w:rPr>
        <w:t>3) Fomentar a inserção das temáticas ambientais nos Projetos Pedagógicos dos Cursos, incluindo atividades teóricas e práticas, aproveitando os conhecimentos existentes no CEFD.</w:t>
      </w:r>
    </w:p>
    <w:p>
      <w:pPr>
        <w:pStyle w:val="Normal"/>
        <w:jc w:val="both"/>
        <w:rPr>
          <w:color w:val="00000A"/>
          <w:sz w:val="24"/>
          <w:szCs w:val="24"/>
        </w:rPr>
      </w:pPr>
      <w:r>
        <w:rPr>
          <w:rFonts w:cs="Arial" w:ascii="Arial" w:hAnsi="Arial"/>
          <w:color w:val="00000A"/>
          <w:sz w:val="24"/>
          <w:szCs w:val="24"/>
        </w:rPr>
        <w:t xml:space="preserve">4) Proporcionar a ampliação e institucionalização dos projetos voltados para a racionalização dos usos dos recursos naturais e conscientização sobre práticas sustentáveis. </w:t>
      </w:r>
    </w:p>
    <w:p>
      <w:pPr>
        <w:pStyle w:val="Normal"/>
        <w:suppressAutoHyphens w:val="true"/>
        <w:spacing w:lineRule="auto" w:line="360" w:before="0" w:after="0"/>
        <w:jc w:val="both"/>
        <w:rPr>
          <w:sz w:val="24"/>
          <w:szCs w:val="24"/>
        </w:rPr>
      </w:pPr>
      <w:r>
        <w:rPr>
          <w:rFonts w:eastAsia="SimSun" w:cs="Arial" w:ascii="Arial" w:hAnsi="Arial"/>
          <w:sz w:val="24"/>
          <w:szCs w:val="24"/>
          <w:lang w:eastAsia="zh-CN" w:bidi="hi-IN"/>
        </w:rPr>
        <w:t>5) Promover campanhas informativas e de estímulo a práticas sustentáveis pela comunidade do CEFD.</w:t>
      </w:r>
    </w:p>
    <w:p>
      <w:pPr>
        <w:pStyle w:val="Normal"/>
        <w:suppressAutoHyphens w:val="true"/>
        <w:spacing w:lineRule="auto" w:line="360" w:before="0" w:after="0"/>
        <w:jc w:val="both"/>
        <w:rPr>
          <w:sz w:val="24"/>
          <w:szCs w:val="24"/>
        </w:rPr>
      </w:pPr>
      <w:r>
        <w:rPr>
          <w:rFonts w:eastAsia="SimSun" w:cs="Arial" w:ascii="Arial" w:hAnsi="Arial"/>
          <w:sz w:val="24"/>
          <w:szCs w:val="24"/>
          <w:lang w:eastAsia="zh-CN" w:bidi="hi-IN"/>
        </w:rPr>
        <w:t>6) divulgar à comunidade interna do CEFD ações benéficas à gestão ambiental, internas e externas à UFSM.</w:t>
      </w:r>
    </w:p>
    <w:p>
      <w:pPr>
        <w:pStyle w:val="Normal"/>
        <w:suppressAutoHyphens w:val="true"/>
        <w:spacing w:lineRule="auto" w:line="360" w:before="0" w:after="0"/>
        <w:jc w:val="both"/>
        <w:rPr>
          <w:sz w:val="24"/>
          <w:szCs w:val="24"/>
        </w:rPr>
      </w:pPr>
      <w:r>
        <w:rPr>
          <w:rFonts w:eastAsia="SimSun" w:cs="Arial" w:ascii="Arial" w:hAnsi="Arial"/>
          <w:sz w:val="24"/>
          <w:szCs w:val="24"/>
          <w:lang w:eastAsia="zh-CN" w:bidi="hi-IN"/>
        </w:rPr>
        <w:t>7) alinhar a atuação do NDI aos princípios de sustentabilidade sob todos os aspectos.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sz w:val="24"/>
          <w:szCs w:val="24"/>
        </w:rPr>
      </w:pPr>
      <w:r>
        <w:rPr>
          <w:rFonts w:eastAsia="Times New Roman" w:cs="Arial" w:ascii="Arial" w:hAnsi="Arial"/>
          <w:color w:val="222222"/>
          <w:sz w:val="24"/>
          <w:szCs w:val="24"/>
          <w:lang w:eastAsia="pt-BR"/>
        </w:rPr>
        <w:t>8) Diminuir o consumo de materiais que agridam o meio ambiente.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sz w:val="24"/>
          <w:szCs w:val="24"/>
        </w:rPr>
      </w:pPr>
      <w:r>
        <w:rPr>
          <w:rFonts w:eastAsia="Times New Roman" w:cs="Arial" w:ascii="Arial" w:hAnsi="Arial"/>
          <w:color w:val="222222"/>
          <w:sz w:val="24"/>
          <w:szCs w:val="24"/>
          <w:lang w:eastAsia="pt-BR"/>
        </w:rPr>
        <w:t>9) Incentivar o uso de tecnologias da informação para a transferência do conteúdo didático.</w:t>
      </w:r>
    </w:p>
    <w:p>
      <w:pPr>
        <w:pStyle w:val="Normal"/>
        <w:suppressAutoHyphens w:val="true"/>
        <w:spacing w:lineRule="auto" w:line="360" w:before="0" w:after="0"/>
        <w:jc w:val="both"/>
        <w:textAlignment w:val="baseline"/>
        <w:rPr>
          <w:sz w:val="24"/>
          <w:szCs w:val="24"/>
        </w:rPr>
      </w:pPr>
      <w:r>
        <w:rPr>
          <w:rFonts w:eastAsia="NSimSun" w:cs="Arial" w:ascii="Arial" w:hAnsi="Arial"/>
          <w:bCs/>
          <w:color w:val="222222"/>
          <w:sz w:val="24"/>
          <w:szCs w:val="24"/>
          <w:lang w:eastAsia="zh-CN" w:bidi="hi-IN"/>
        </w:rPr>
        <w:t>10) Manter processos e rotinas que valorizem os diferentes aspectos da gestão ambiental.</w:t>
      </w:r>
    </w:p>
    <w:p>
      <w:pPr>
        <w:pStyle w:val="Normal"/>
        <w:suppressAutoHyphens w:val="true"/>
        <w:spacing w:lineRule="auto" w:line="360" w:before="0" w:after="0"/>
        <w:jc w:val="both"/>
        <w:textAlignment w:val="baseline"/>
        <w:rPr>
          <w:sz w:val="24"/>
          <w:szCs w:val="24"/>
        </w:rPr>
      </w:pPr>
      <w:r>
        <w:rPr>
          <w:rFonts w:eastAsia="NSimSun" w:cs="Arial" w:ascii="Arial" w:hAnsi="Arial"/>
          <w:bCs/>
          <w:color w:val="222222"/>
          <w:sz w:val="24"/>
          <w:szCs w:val="24"/>
          <w:lang w:eastAsia="zh-CN" w:bidi="hi-IN"/>
        </w:rPr>
        <w:t>11) Disseminar uma cultura ética em relação à inclusão, à diversidade e ao meio-ambiente.</w:t>
      </w:r>
    </w:p>
    <w:p>
      <w:pPr>
        <w:pStyle w:val="Normal"/>
        <w:jc w:val="both"/>
        <w:rPr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12) Utilizar, mais e melhor, os meios eletrônicos de comunicação e armazenamento, evitando o desperdício de papel com impressos.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13) Primar pela aquisição de equipamentos e materiais que sejam ecologicamente corretos ou que promovam a sustentabilidade.  </w:t>
      </w:r>
    </w:p>
    <w:p>
      <w:pPr>
        <w:pStyle w:val="Normal"/>
        <w:jc w:val="both"/>
        <w:rPr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14) </w:t>
      </w:r>
      <w:r>
        <w:rPr>
          <w:rFonts w:ascii="Arial" w:hAnsi="Arial"/>
          <w:color w:val="1D2228"/>
          <w:sz w:val="24"/>
          <w:szCs w:val="24"/>
        </w:rPr>
        <w:t>Colaborar e, junto aos colegas, buscar desenvolver ações para evitar ou reduzir o desperdício de recursos;</w:t>
      </w:r>
    </w:p>
    <w:p>
      <w:pPr>
        <w:pStyle w:val="Standard"/>
        <w:widowControl w:val="false"/>
        <w:tabs>
          <w:tab w:val="left" w:pos="720" w:leader="none"/>
        </w:tabs>
        <w:spacing w:lineRule="exact" w:line="240" w:before="0" w:after="160"/>
        <w:jc w:val="both"/>
        <w:rPr>
          <w:rFonts w:ascii="Arial" w:hAnsi="Arial" w:cs="Arial"/>
          <w:color w:val="1D2228"/>
        </w:rPr>
      </w:pPr>
      <w:r>
        <w:rPr>
          <w:rFonts w:cs="Arial" w:ascii="Arial" w:hAnsi="Arial"/>
          <w:color w:val="1D2228"/>
        </w:rPr>
        <w:t>15) Incentivar o bom uso dos materiais, equipamentos e estrutura do CEFD.</w:t>
      </w:r>
    </w:p>
    <w:p>
      <w:pPr>
        <w:pStyle w:val="Standard"/>
        <w:widowControl w:val="false"/>
        <w:tabs>
          <w:tab w:val="left" w:pos="720" w:leader="none"/>
        </w:tabs>
        <w:spacing w:lineRule="exact" w:line="240" w:before="0" w:after="160"/>
        <w:jc w:val="both"/>
        <w:rPr>
          <w:rFonts w:ascii="Arial" w:hAnsi="Arial" w:cs="Arial"/>
          <w:color w:val="1D2228"/>
        </w:rPr>
      </w:pPr>
      <w:r>
        <w:rPr>
          <w:rFonts w:cs="Arial" w:ascii="Arial" w:hAnsi="Arial"/>
          <w:color w:val="1D2228"/>
        </w:rPr>
      </w:r>
    </w:p>
    <w:p>
      <w:pPr>
        <w:pStyle w:val="Normal"/>
        <w:widowControl w:val="false"/>
        <w:tabs>
          <w:tab w:val="left" w:pos="720" w:leader="none"/>
        </w:tabs>
        <w:suppressAutoHyphens w:val="true"/>
        <w:spacing w:lineRule="exact" w:line="240"/>
        <w:jc w:val="both"/>
        <w:rPr/>
      </w:pPr>
      <w:r>
        <w:rPr>
          <w:rFonts w:cs="Arial" w:ascii="Arial" w:hAnsi="Arial"/>
          <w:color w:val="000000"/>
          <w:sz w:val="24"/>
          <w:szCs w:val="24"/>
        </w:rPr>
        <w:t xml:space="preserve">2.4  </w:t>
      </w:r>
      <w:r>
        <w:rPr>
          <w:rFonts w:cs="Arial" w:ascii="Arial" w:hAnsi="Arial"/>
          <w:b/>
          <w:color w:val="000000"/>
          <w:sz w:val="24"/>
          <w:szCs w:val="24"/>
        </w:rPr>
        <w:t xml:space="preserve">QUARTA </w:t>
      </w:r>
      <w:r>
        <w:rPr>
          <w:rFonts w:cs="Arial" w:ascii="Arial" w:hAnsi="Arial"/>
          <w:b/>
          <w:bCs/>
          <w:color w:val="000000"/>
          <w:sz w:val="24"/>
          <w:szCs w:val="24"/>
        </w:rPr>
        <w:t xml:space="preserve">FASE </w:t>
      </w:r>
      <w:r>
        <w:rPr>
          <w:rFonts w:cs="Arial" w:ascii="Arial" w:hAnsi="Arial"/>
          <w:bCs/>
          <w:color w:val="000000"/>
          <w:sz w:val="24"/>
          <w:szCs w:val="24"/>
        </w:rPr>
        <w:t>–</w:t>
      </w:r>
      <w:r>
        <w:rPr>
          <w:rFonts w:cs="Arial" w:ascii="Arial" w:hAnsi="Arial"/>
          <w:b/>
          <w:bCs/>
          <w:color w:val="000000"/>
          <w:sz w:val="24"/>
          <w:szCs w:val="24"/>
        </w:rPr>
        <w:t xml:space="preserve"> </w:t>
      </w:r>
      <w:r>
        <w:rPr>
          <w:rFonts w:cs="Arial" w:ascii="Arial" w:hAnsi="Arial"/>
          <w:bCs/>
          <w:color w:val="000000"/>
          <w:sz w:val="24"/>
          <w:szCs w:val="24"/>
        </w:rPr>
        <w:t>Priorização de objetivos</w:t>
      </w:r>
    </w:p>
    <w:p>
      <w:pPr>
        <w:pStyle w:val="Standard"/>
        <w:widowControl w:val="false"/>
        <w:tabs>
          <w:tab w:val="left" w:pos="720" w:leader="none"/>
        </w:tabs>
        <w:spacing w:lineRule="exact" w:line="240" w:before="0" w:after="16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Standard"/>
        <w:widowControl w:val="false"/>
        <w:tabs>
          <w:tab w:val="left" w:pos="720" w:leader="none"/>
        </w:tabs>
        <w:spacing w:lineRule="auto" w:line="360" w:before="0" w:after="160"/>
        <w:jc w:val="both"/>
        <w:rPr/>
      </w:pPr>
      <w:r>
        <w:rPr>
          <w:rFonts w:cs="Arial" w:ascii="Arial" w:hAnsi="Arial"/>
          <w:color w:val="000000"/>
        </w:rPr>
        <w:tab/>
        <w:t>Após o processo de consulta on-line, a comunidade acadêmica do CEFD elegeu os cinco objetivos prioritários em cada um dos sete Desafios institucionais. Assim, após a unificação de todos os objetivos propostos pelas 10 subunidades o CEFD, a Comissão apresentou ao Conselho de Centro na reunião do mês de setembro de 2019, a lista com os 35 objetivos priorizados para os sete desafios do PDU, confirme abaixo.</w:t>
      </w:r>
    </w:p>
    <w:p>
      <w:pPr>
        <w:pStyle w:val="Standard"/>
        <w:widowControl w:val="false"/>
        <w:tabs>
          <w:tab w:val="left" w:pos="720" w:leader="none"/>
        </w:tabs>
        <w:spacing w:lineRule="auto" w:line="360" w:before="0" w:after="16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Standard"/>
        <w:widowControl w:val="false"/>
        <w:tabs>
          <w:tab w:val="left" w:pos="720" w:leader="none"/>
        </w:tabs>
        <w:spacing w:lineRule="auto" w:line="360" w:before="0" w:after="160"/>
        <w:jc w:val="both"/>
        <w:rPr>
          <w:rFonts w:ascii="Arial" w:hAnsi="Arial" w:cs="Arial"/>
          <w:color w:val="000000"/>
          <w:u w:val="single"/>
        </w:rPr>
      </w:pPr>
      <w:r>
        <w:rPr>
          <w:rFonts w:cs="Arial" w:ascii="Arial" w:hAnsi="Arial"/>
          <w:color w:val="000000"/>
        </w:rPr>
        <w:t xml:space="preserve">Desafio 1: </w:t>
      </w:r>
      <w:r>
        <w:rPr>
          <w:rFonts w:cs="Arial" w:ascii="Arial" w:hAnsi="Arial"/>
          <w:color w:val="000000"/>
          <w:u w:val="single"/>
        </w:rPr>
        <w:t>Internacionalização</w:t>
      </w:r>
    </w:p>
    <w:p>
      <w:pPr>
        <w:pStyle w:val="Standard"/>
        <w:widowControl w:val="false"/>
        <w:tabs>
          <w:tab w:val="left" w:pos="720" w:leader="none"/>
        </w:tabs>
        <w:spacing w:lineRule="auto" w:line="360" w:before="0" w:after="16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Standard"/>
        <w:widowControl w:val="false"/>
        <w:numPr>
          <w:ilvl w:val="0"/>
          <w:numId w:val="1"/>
        </w:numPr>
        <w:tabs>
          <w:tab w:val="left" w:pos="720" w:leader="none"/>
        </w:tabs>
        <w:spacing w:lineRule="auto" w:line="360" w:before="0" w:after="16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</w:rPr>
        <w:t>Estimular a qualificação e formação continuada de alunos, docentes e técnicos em Programas no exterior.</w:t>
      </w:r>
    </w:p>
    <w:p>
      <w:pPr>
        <w:pStyle w:val="Standard"/>
        <w:widowControl w:val="false"/>
        <w:numPr>
          <w:ilvl w:val="0"/>
          <w:numId w:val="1"/>
        </w:numPr>
        <w:tabs>
          <w:tab w:val="left" w:pos="720" w:leader="none"/>
        </w:tabs>
        <w:spacing w:lineRule="auto" w:line="360" w:before="0" w:after="16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</w:rPr>
        <w:t>Apoiar iniciativas e projetos de pesquisa, ensino ou extensão que possam alcançar relevância internacional.</w:t>
      </w:r>
    </w:p>
    <w:p>
      <w:pPr>
        <w:pStyle w:val="Standard"/>
        <w:widowControl w:val="false"/>
        <w:numPr>
          <w:ilvl w:val="0"/>
          <w:numId w:val="1"/>
        </w:numPr>
        <w:tabs>
          <w:tab w:val="left" w:pos="720" w:leader="none"/>
        </w:tabs>
        <w:spacing w:lineRule="auto" w:line="360" w:before="0" w:after="16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</w:rPr>
        <w:t>Buscar o estabelecimento de convênios de ensino, pesquisa e extensão a partir da participação em eventos internacionais, publicações, bancas, entre outros.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eastAsia="Times New Roman" w:cs="Arial" w:ascii="Arial" w:hAnsi="Arial"/>
          <w:color w:val="222222"/>
          <w:sz w:val="24"/>
          <w:szCs w:val="24"/>
          <w:lang w:eastAsia="pt-BR"/>
        </w:rPr>
        <w:t>Realizar disciplinas e cursos de pequena duração com professores visitantes de universidades dos Estados Unidos, Canadá, Japão, Portugal e Espanha.</w:t>
      </w:r>
    </w:p>
    <w:p>
      <w:pPr>
        <w:pStyle w:val="Standard"/>
        <w:widowControl w:val="false"/>
        <w:numPr>
          <w:ilvl w:val="0"/>
          <w:numId w:val="1"/>
        </w:numPr>
        <w:tabs>
          <w:tab w:val="left" w:pos="720" w:leader="none"/>
        </w:tabs>
        <w:spacing w:lineRule="auto" w:line="360" w:before="0" w:after="160"/>
        <w:jc w:val="both"/>
        <w:rPr>
          <w:rFonts w:ascii="Arial" w:hAnsi="Arial" w:cs="Arial"/>
          <w:color w:val="000000"/>
        </w:rPr>
      </w:pPr>
      <w:r>
        <w:rPr>
          <w:rFonts w:eastAsia="Times New Roman" w:cs="Arial" w:ascii="Arial" w:hAnsi="Arial"/>
          <w:lang w:eastAsia="pt-BR"/>
        </w:rPr>
        <w:t>Buscar colaborações em pesquisas com instituições estrangeiras.</w:t>
      </w:r>
    </w:p>
    <w:p>
      <w:pPr>
        <w:pStyle w:val="Standard"/>
        <w:widowControl w:val="false"/>
        <w:tabs>
          <w:tab w:val="left" w:pos="720" w:leader="none"/>
        </w:tabs>
        <w:spacing w:lineRule="auto" w:line="360" w:before="0" w:after="160"/>
        <w:ind w:left="720" w:hanging="0"/>
        <w:jc w:val="both"/>
        <w:rPr>
          <w:rFonts w:ascii="Arial" w:hAnsi="Arial" w:eastAsia="Times New Roman" w:cs="Arial"/>
          <w:lang w:eastAsia="pt-BR"/>
        </w:rPr>
      </w:pPr>
      <w:r>
        <w:rPr>
          <w:rFonts w:eastAsia="Times New Roman" w:cs="Arial" w:ascii="Arial" w:hAnsi="Arial"/>
          <w:lang w:eastAsia="pt-BR"/>
        </w:rPr>
      </w:r>
    </w:p>
    <w:p>
      <w:pPr>
        <w:pStyle w:val="Standard"/>
        <w:widowControl w:val="false"/>
        <w:tabs>
          <w:tab w:val="left" w:pos="720" w:leader="none"/>
        </w:tabs>
        <w:spacing w:lineRule="auto" w:line="360" w:before="0" w:after="160"/>
        <w:jc w:val="both"/>
        <w:rPr>
          <w:rFonts w:ascii="Arial" w:hAnsi="Arial" w:eastAsia="Times New Roman" w:cs="Arial"/>
          <w:u w:val="single"/>
          <w:lang w:eastAsia="pt-BR"/>
        </w:rPr>
      </w:pPr>
      <w:r>
        <w:rPr>
          <w:rFonts w:eastAsia="Times New Roman" w:cs="Arial" w:ascii="Arial" w:hAnsi="Arial"/>
          <w:lang w:eastAsia="pt-BR"/>
        </w:rPr>
        <w:t xml:space="preserve">Desafio 2: </w:t>
      </w:r>
      <w:r>
        <w:rPr>
          <w:rFonts w:eastAsia="Times New Roman" w:cs="Arial" w:ascii="Arial" w:hAnsi="Arial"/>
          <w:u w:val="single"/>
          <w:lang w:eastAsia="pt-BR"/>
        </w:rPr>
        <w:t>Educação inovadora e Transformadora com Excelência acadêmica</w:t>
      </w:r>
    </w:p>
    <w:p>
      <w:pPr>
        <w:pStyle w:val="Standard"/>
        <w:widowControl w:val="false"/>
        <w:tabs>
          <w:tab w:val="left" w:pos="720" w:leader="none"/>
        </w:tabs>
        <w:spacing w:lineRule="auto" w:line="360" w:before="0" w:after="160"/>
        <w:jc w:val="both"/>
        <w:rPr>
          <w:rFonts w:ascii="Arial" w:hAnsi="Arial" w:eastAsia="Times New Roman" w:cs="Arial"/>
          <w:lang w:eastAsia="pt-BR"/>
        </w:rPr>
      </w:pPr>
      <w:r>
        <w:rPr>
          <w:rFonts w:eastAsia="Times New Roman" w:cs="Arial" w:ascii="Arial" w:hAnsi="Arial"/>
          <w:lang w:eastAsia="pt-BR"/>
        </w:rPr>
      </w:r>
    </w:p>
    <w:p>
      <w:pPr>
        <w:pStyle w:val="Standard"/>
        <w:widowControl w:val="false"/>
        <w:numPr>
          <w:ilvl w:val="0"/>
          <w:numId w:val="2"/>
        </w:numPr>
        <w:tabs>
          <w:tab w:val="left" w:pos="720" w:leader="none"/>
        </w:tabs>
        <w:spacing w:lineRule="auto" w:line="360" w:before="0" w:after="16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</w:rPr>
        <w:t>Estimular parcerias com outros Cursos e Centros a fim de propiciar ações compartilhadas e interdisciplinares.</w:t>
      </w:r>
    </w:p>
    <w:p>
      <w:pPr>
        <w:pStyle w:val="ListParagraph"/>
        <w:numPr>
          <w:ilvl w:val="0"/>
          <w:numId w:val="2"/>
        </w:numPr>
        <w:suppressAutoHyphens w:val="true"/>
        <w:spacing w:lineRule="auto" w:line="240" w:before="0" w:after="0"/>
        <w:jc w:val="both"/>
        <w:textAlignment w:val="baseline"/>
        <w:rPr>
          <w:rFonts w:ascii="Arial" w:hAnsi="Arial" w:eastAsia="NSimSun" w:cs="Arial"/>
          <w:bCs/>
          <w:color w:val="00000A"/>
          <w:sz w:val="24"/>
          <w:szCs w:val="24"/>
          <w:lang w:eastAsia="zh-CN" w:bidi="hi-IN"/>
        </w:rPr>
      </w:pPr>
      <w:r>
        <w:rPr>
          <w:rFonts w:eastAsia="NSimSun" w:cs="Arial" w:ascii="Arial" w:hAnsi="Arial"/>
          <w:bCs/>
          <w:color w:val="00000A"/>
          <w:sz w:val="24"/>
          <w:szCs w:val="24"/>
          <w:lang w:eastAsia="zh-CN" w:bidi="hi-IN"/>
        </w:rPr>
        <w:t>Oferecer uma infraestrutura de apoio qualificada e de acordo com as necessidades de cada área de conhecimento.</w:t>
      </w:r>
    </w:p>
    <w:p>
      <w:pPr>
        <w:pStyle w:val="ListParagraph"/>
        <w:suppressAutoHyphens w:val="true"/>
        <w:spacing w:lineRule="auto" w:line="240" w:before="0" w:after="0"/>
        <w:ind w:left="1080" w:hanging="0"/>
        <w:jc w:val="both"/>
        <w:textAlignment w:val="baseline"/>
        <w:rPr>
          <w:rFonts w:ascii="Arial" w:hAnsi="Arial" w:cs="Arial"/>
          <w:color w:val="00000A"/>
          <w:sz w:val="24"/>
          <w:szCs w:val="24"/>
        </w:rPr>
      </w:pPr>
      <w:r>
        <w:rPr>
          <w:rFonts w:cs="Arial" w:ascii="Arial" w:hAnsi="Arial"/>
          <w:color w:val="00000A"/>
          <w:sz w:val="24"/>
          <w:szCs w:val="24"/>
        </w:rPr>
      </w:r>
    </w:p>
    <w:p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000A"/>
          <w:sz w:val="24"/>
          <w:szCs w:val="24"/>
        </w:rPr>
      </w:pPr>
      <w:r>
        <w:rPr>
          <w:rFonts w:cs="Arial" w:ascii="Arial" w:hAnsi="Arial"/>
          <w:color w:val="00000A"/>
          <w:sz w:val="24"/>
          <w:szCs w:val="24"/>
        </w:rPr>
        <w:t xml:space="preserve">Estimular e aprimorar as parcerias entre os Cursos de Graduação e Pós-graduação do CEFD. </w:t>
      </w:r>
    </w:p>
    <w:p>
      <w:pPr>
        <w:pStyle w:val="ListParagraph"/>
        <w:rPr>
          <w:rFonts w:ascii="Arial" w:hAnsi="Arial" w:cs="Arial"/>
          <w:color w:val="00000A"/>
          <w:sz w:val="24"/>
          <w:szCs w:val="24"/>
        </w:rPr>
      </w:pPr>
      <w:r>
        <w:rPr>
          <w:rFonts w:cs="Arial" w:ascii="Arial" w:hAnsi="Arial"/>
          <w:color w:val="00000A"/>
          <w:sz w:val="24"/>
          <w:szCs w:val="24"/>
        </w:rPr>
      </w:r>
    </w:p>
    <w:p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000A"/>
          <w:sz w:val="24"/>
          <w:szCs w:val="24"/>
        </w:rPr>
      </w:pPr>
      <w:r>
        <w:rPr>
          <w:rFonts w:cs="Arial" w:ascii="Arial" w:hAnsi="Arial"/>
          <w:color w:val="00000A"/>
          <w:sz w:val="24"/>
          <w:szCs w:val="24"/>
        </w:rPr>
        <w:t>Estimular ações vinculadas a Temáticas Transversais e interdisciplinares como Meio Ambiente, Relações Étnico-raciais, Direitos Humanos, relações de Gênero, Sexualidade, Geração, Pessoas com deficiência, população em situação de vulnerabilidade social e pessoas com privação de liberdade.</w:t>
      </w:r>
    </w:p>
    <w:p>
      <w:pPr>
        <w:pStyle w:val="ListParagraph"/>
        <w:ind w:left="1080" w:hanging="0"/>
        <w:jc w:val="both"/>
        <w:rPr>
          <w:rFonts w:ascii="Arial" w:hAnsi="Arial" w:cs="Arial"/>
          <w:color w:val="00000A"/>
          <w:sz w:val="24"/>
          <w:szCs w:val="24"/>
        </w:rPr>
      </w:pPr>
      <w:r>
        <w:rPr>
          <w:rFonts w:cs="Arial" w:ascii="Arial" w:hAnsi="Arial"/>
          <w:color w:val="00000A"/>
          <w:sz w:val="24"/>
          <w:szCs w:val="24"/>
        </w:rPr>
      </w:r>
    </w:p>
    <w:p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000A"/>
          <w:sz w:val="24"/>
          <w:szCs w:val="24"/>
        </w:rPr>
      </w:pPr>
      <w:r>
        <w:rPr>
          <w:rFonts w:cs="Arial" w:ascii="Arial" w:hAnsi="Arial"/>
          <w:color w:val="00000A"/>
          <w:sz w:val="24"/>
          <w:szCs w:val="24"/>
        </w:rPr>
        <w:t>Aproximar a comunidade do CEFD às ações esportivas, artísticas e culturais de projetos em desenvolvimento pelo CEFD.</w:t>
      </w:r>
    </w:p>
    <w:p>
      <w:pPr>
        <w:pStyle w:val="Standard"/>
        <w:widowControl w:val="false"/>
        <w:tabs>
          <w:tab w:val="left" w:pos="720" w:leader="none"/>
        </w:tabs>
        <w:spacing w:lineRule="auto" w:line="360" w:before="0" w:after="160"/>
        <w:ind w:left="1080" w:hanging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Standard"/>
        <w:widowControl w:val="false"/>
        <w:tabs>
          <w:tab w:val="left" w:pos="720" w:leader="none"/>
        </w:tabs>
        <w:spacing w:lineRule="auto" w:line="360" w:before="0" w:after="160"/>
        <w:ind w:hanging="0"/>
        <w:jc w:val="both"/>
        <w:rPr/>
      </w:pPr>
      <w:r>
        <w:rPr>
          <w:rFonts w:cs="Arial" w:ascii="Arial" w:hAnsi="Arial"/>
          <w:color w:val="000000"/>
        </w:rPr>
        <w:t xml:space="preserve">Desafio 3: </w:t>
      </w:r>
      <w:r>
        <w:rPr>
          <w:rFonts w:cs="Arial" w:ascii="Arial" w:hAnsi="Arial"/>
          <w:color w:val="000000"/>
          <w:u w:val="single"/>
        </w:rPr>
        <w:t>Inclusão Social</w:t>
      </w:r>
    </w:p>
    <w:p>
      <w:pPr>
        <w:pStyle w:val="Standard"/>
        <w:widowControl w:val="false"/>
        <w:tabs>
          <w:tab w:val="left" w:pos="720" w:leader="none"/>
        </w:tabs>
        <w:spacing w:lineRule="auto" w:line="360" w:before="0" w:after="160"/>
        <w:ind w:left="1080" w:hanging="0"/>
        <w:jc w:val="both"/>
        <w:rPr>
          <w:rFonts w:ascii="Arial" w:hAnsi="Arial" w:cs="Arial"/>
          <w:color w:val="000000"/>
          <w:u w:val="single"/>
        </w:rPr>
      </w:pPr>
      <w:r>
        <w:rPr>
          <w:rFonts w:cs="Arial" w:ascii="Arial" w:hAnsi="Arial"/>
          <w:color w:val="000000"/>
          <w:u w:val="single"/>
        </w:rPr>
      </w:r>
    </w:p>
    <w:p>
      <w:pPr>
        <w:pStyle w:val="ListParagraph"/>
        <w:numPr>
          <w:ilvl w:val="0"/>
          <w:numId w:val="3"/>
        </w:numPr>
        <w:rPr>
          <w:rFonts w:ascii="Arial" w:hAnsi="Arial" w:cs="Arial"/>
          <w:color w:val="00000A"/>
          <w:sz w:val="24"/>
          <w:szCs w:val="24"/>
        </w:rPr>
      </w:pPr>
      <w:r>
        <w:rPr>
          <w:rFonts w:cs="Arial" w:ascii="Arial" w:hAnsi="Arial"/>
          <w:color w:val="00000A"/>
          <w:sz w:val="24"/>
          <w:szCs w:val="24"/>
        </w:rPr>
        <w:t>Capacitar Docentes, discentes e técnicos administrativos nas áreas de Pessoas com deficiência (PCD), Envelhecimento, Gênero, Sexualidade, lei 2003 (afro e índio).</w:t>
      </w:r>
    </w:p>
    <w:p>
      <w:pPr>
        <w:pStyle w:val="ListParagraph"/>
        <w:rPr>
          <w:rFonts w:ascii="Arial" w:hAnsi="Arial" w:cs="Arial"/>
          <w:color w:val="00000A"/>
          <w:sz w:val="24"/>
          <w:szCs w:val="24"/>
        </w:rPr>
      </w:pPr>
      <w:r>
        <w:rPr>
          <w:rFonts w:cs="Arial" w:ascii="Arial" w:hAnsi="Arial"/>
          <w:color w:val="00000A"/>
          <w:sz w:val="24"/>
          <w:szCs w:val="24"/>
        </w:rPr>
      </w:r>
    </w:p>
    <w:p>
      <w:pPr>
        <w:pStyle w:val="ListParagraph"/>
        <w:numPr>
          <w:ilvl w:val="0"/>
          <w:numId w:val="3"/>
        </w:numPr>
        <w:rPr>
          <w:rFonts w:ascii="Arial" w:hAnsi="Arial" w:cs="Arial"/>
          <w:color w:val="00000A"/>
          <w:sz w:val="24"/>
          <w:szCs w:val="24"/>
        </w:rPr>
      </w:pPr>
      <w:r>
        <w:rPr>
          <w:rFonts w:cs="Arial" w:ascii="Arial" w:hAnsi="Arial"/>
          <w:color w:val="00000A"/>
          <w:sz w:val="24"/>
          <w:szCs w:val="24"/>
        </w:rPr>
        <w:t>Qualificar a infraestrutura de engenharia e logística respeitando as premissas de acessibilidade, respeito ao Meio Ambiente e segurança.</w:t>
      </w:r>
    </w:p>
    <w:p>
      <w:pPr>
        <w:pStyle w:val="ListParagraph"/>
        <w:tabs>
          <w:tab w:val="left" w:pos="1245" w:leader="none"/>
        </w:tabs>
        <w:rPr>
          <w:rFonts w:ascii="Arial" w:hAnsi="Arial" w:cs="Arial"/>
          <w:color w:val="00000A"/>
          <w:sz w:val="24"/>
          <w:szCs w:val="24"/>
        </w:rPr>
      </w:pPr>
      <w:r>
        <w:rPr>
          <w:rFonts w:cs="Arial" w:ascii="Arial" w:hAnsi="Arial"/>
          <w:color w:val="00000A"/>
          <w:sz w:val="24"/>
          <w:szCs w:val="24"/>
        </w:rPr>
        <w:tab/>
      </w:r>
    </w:p>
    <w:p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color w:val="1D2228"/>
          <w:sz w:val="24"/>
          <w:szCs w:val="24"/>
        </w:rPr>
        <w:t>Buscar oportunidades junto aos diversos órgãos e/ou instituições que apoiem a extensão universitária no Rio Grande do Sul e no Brasil.</w:t>
      </w:r>
    </w:p>
    <w:p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0"/>
        </w:numPr>
        <w:ind w:left="1440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3"/>
        </w:numPr>
        <w:rPr>
          <w:rFonts w:ascii="Arial" w:hAnsi="Arial" w:cs="Arial"/>
          <w:color w:val="00000A"/>
          <w:sz w:val="24"/>
          <w:szCs w:val="24"/>
        </w:rPr>
      </w:pPr>
      <w:r>
        <w:rPr>
          <w:rFonts w:cs="Arial" w:ascii="Arial" w:hAnsi="Arial"/>
          <w:color w:val="00000A"/>
          <w:sz w:val="24"/>
          <w:szCs w:val="24"/>
        </w:rPr>
        <w:t xml:space="preserve">Ampliar a participação de alunos da comunidade do CEFD em projetos esportivos, artísticos, culturais. </w:t>
      </w:r>
    </w:p>
    <w:p>
      <w:pPr>
        <w:pStyle w:val="ListParagraph"/>
        <w:rPr>
          <w:rFonts w:ascii="Arial" w:hAnsi="Arial" w:cs="Arial"/>
          <w:color w:val="00000A"/>
          <w:sz w:val="24"/>
          <w:szCs w:val="24"/>
        </w:rPr>
      </w:pPr>
      <w:r>
        <w:rPr>
          <w:rFonts w:cs="Arial" w:ascii="Arial" w:hAnsi="Arial"/>
          <w:color w:val="00000A"/>
          <w:sz w:val="24"/>
          <w:szCs w:val="24"/>
        </w:rPr>
      </w:r>
    </w:p>
    <w:p>
      <w:pPr>
        <w:pStyle w:val="ListParagraph"/>
        <w:numPr>
          <w:ilvl w:val="0"/>
          <w:numId w:val="3"/>
        </w:numPr>
        <w:rPr>
          <w:rFonts w:ascii="Arial" w:hAnsi="Arial" w:cs="Arial"/>
          <w:color w:val="00000A"/>
          <w:sz w:val="24"/>
          <w:szCs w:val="24"/>
        </w:rPr>
      </w:pPr>
      <w:r>
        <w:rPr>
          <w:rFonts w:cs="Arial" w:ascii="Arial" w:hAnsi="Arial"/>
          <w:color w:val="00000A"/>
          <w:sz w:val="24"/>
          <w:szCs w:val="24"/>
        </w:rPr>
        <w:t>Possibilitar ações que contemplem crianças e adolescentes em situação de vulnerabilidade social.</w:t>
      </w:r>
    </w:p>
    <w:p>
      <w:pPr>
        <w:pStyle w:val="Standard"/>
        <w:widowControl w:val="false"/>
        <w:tabs>
          <w:tab w:val="left" w:pos="720" w:leader="none"/>
        </w:tabs>
        <w:spacing w:lineRule="auto" w:line="360" w:before="0" w:after="160"/>
        <w:ind w:left="720" w:hanging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Standard"/>
        <w:widowControl w:val="false"/>
        <w:tabs>
          <w:tab w:val="left" w:pos="720" w:leader="none"/>
        </w:tabs>
        <w:spacing w:lineRule="auto" w:line="360" w:before="0" w:after="160"/>
        <w:ind w:left="720" w:hanging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Standard"/>
        <w:widowControl w:val="false"/>
        <w:tabs>
          <w:tab w:val="left" w:pos="720" w:leader="none"/>
        </w:tabs>
        <w:spacing w:lineRule="auto" w:line="360" w:before="0" w:after="160"/>
        <w:jc w:val="both"/>
        <w:rPr>
          <w:rFonts w:ascii="Arial" w:hAnsi="Arial" w:cs="Arial"/>
          <w:color w:val="000000"/>
          <w:u w:val="single"/>
        </w:rPr>
      </w:pPr>
      <w:r>
        <w:rPr>
          <w:rFonts w:cs="Arial" w:ascii="Arial" w:hAnsi="Arial"/>
          <w:color w:val="000000"/>
        </w:rPr>
        <w:t xml:space="preserve">Desafio 4: </w:t>
      </w:r>
      <w:r>
        <w:rPr>
          <w:rFonts w:cs="Arial" w:ascii="Arial" w:hAnsi="Arial"/>
          <w:color w:val="000000"/>
          <w:u w:val="single"/>
        </w:rPr>
        <w:t>Inovação, Geração de conhecimento e Transferência de Tecnologia</w:t>
      </w:r>
    </w:p>
    <w:p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00000A"/>
          <w:sz w:val="24"/>
          <w:szCs w:val="24"/>
        </w:rPr>
      </w:pPr>
      <w:r>
        <w:rPr>
          <w:rFonts w:cs="Arial" w:ascii="Arial" w:hAnsi="Arial"/>
          <w:color w:val="00000A"/>
          <w:sz w:val="24"/>
          <w:szCs w:val="24"/>
        </w:rPr>
        <w:t>Buscar oportunidades de financiamento em instituições, ministérios, agências de fomento e empresas que ofereçam chamadas públicas para qualificação dos laboratórios, custeio de pesquisas, bem como, bolsas para pesquisadores.</w:t>
      </w:r>
    </w:p>
    <w:p>
      <w:pPr>
        <w:pStyle w:val="ListParagraph"/>
        <w:jc w:val="both"/>
        <w:rPr>
          <w:rFonts w:ascii="Arial" w:hAnsi="Arial" w:cs="Arial"/>
          <w:color w:val="00000A"/>
          <w:sz w:val="24"/>
          <w:szCs w:val="24"/>
        </w:rPr>
      </w:pPr>
      <w:r>
        <w:rPr>
          <w:rFonts w:cs="Arial" w:ascii="Arial" w:hAnsi="Arial"/>
          <w:color w:val="00000A"/>
          <w:sz w:val="24"/>
          <w:szCs w:val="24"/>
        </w:rPr>
      </w:r>
    </w:p>
    <w:p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00000A"/>
          <w:sz w:val="24"/>
          <w:szCs w:val="24"/>
        </w:rPr>
      </w:pPr>
      <w:r>
        <w:rPr>
          <w:rFonts w:cs="Arial" w:ascii="Arial" w:hAnsi="Arial"/>
          <w:color w:val="00000A"/>
          <w:sz w:val="24"/>
          <w:szCs w:val="24"/>
        </w:rPr>
        <w:t>Qualificar e ampliar as ações de fomento à pesquisa com parcerias e convênios.</w:t>
      </w:r>
    </w:p>
    <w:p>
      <w:pPr>
        <w:pStyle w:val="ListParagraph"/>
        <w:rPr>
          <w:rFonts w:ascii="Arial" w:hAnsi="Arial" w:cs="Arial"/>
          <w:color w:val="00000A"/>
          <w:sz w:val="24"/>
          <w:szCs w:val="24"/>
        </w:rPr>
      </w:pPr>
      <w:r>
        <w:rPr>
          <w:rFonts w:cs="Arial" w:ascii="Arial" w:hAnsi="Arial"/>
          <w:color w:val="00000A"/>
          <w:sz w:val="24"/>
          <w:szCs w:val="24"/>
        </w:rPr>
      </w:r>
    </w:p>
    <w:p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00000A"/>
          <w:sz w:val="24"/>
          <w:szCs w:val="24"/>
        </w:rPr>
      </w:pPr>
      <w:r>
        <w:rPr>
          <w:rFonts w:cs="Arial" w:ascii="Arial" w:hAnsi="Arial"/>
          <w:color w:val="00000A"/>
          <w:sz w:val="24"/>
          <w:szCs w:val="24"/>
        </w:rPr>
        <w:t>Ampliar o uso de tecnologias em diferentes processos institucionais.</w:t>
      </w:r>
    </w:p>
    <w:p>
      <w:pPr>
        <w:pStyle w:val="ListParagraph"/>
        <w:rPr>
          <w:rFonts w:ascii="Arial" w:hAnsi="Arial" w:cs="Arial"/>
          <w:color w:val="00000A"/>
          <w:sz w:val="24"/>
          <w:szCs w:val="24"/>
        </w:rPr>
      </w:pPr>
      <w:r>
        <w:rPr>
          <w:rFonts w:cs="Arial" w:ascii="Arial" w:hAnsi="Arial"/>
          <w:color w:val="00000A"/>
          <w:sz w:val="24"/>
          <w:szCs w:val="24"/>
        </w:rPr>
      </w:r>
    </w:p>
    <w:p>
      <w:pPr>
        <w:pStyle w:val="ListParagraph"/>
        <w:numPr>
          <w:ilvl w:val="0"/>
          <w:numId w:val="4"/>
        </w:numPr>
        <w:suppressAutoHyphens w:val="true"/>
        <w:spacing w:lineRule="auto" w:line="360" w:before="0" w:after="0"/>
        <w:jc w:val="both"/>
        <w:textAlignment w:val="baseline"/>
        <w:rPr>
          <w:rFonts w:ascii="Arial" w:hAnsi="Arial" w:cs="Arial"/>
          <w:color w:val="00000A"/>
          <w:sz w:val="24"/>
          <w:szCs w:val="24"/>
        </w:rPr>
      </w:pPr>
      <w:r>
        <w:rPr>
          <w:rFonts w:eastAsia="NSimSun" w:cs="Arial" w:ascii="Arial" w:hAnsi="Arial"/>
          <w:bCs/>
          <w:color w:val="00000A"/>
          <w:sz w:val="24"/>
          <w:szCs w:val="24"/>
          <w:lang w:eastAsia="zh-CN" w:bidi="hi-IN"/>
        </w:rPr>
        <w:t>Oferecer uma infraestrutura de apoio qualificada e de acordo com as necessidades de cada área de conhecimento.</w:t>
      </w:r>
    </w:p>
    <w:p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00000A"/>
          <w:sz w:val="24"/>
          <w:szCs w:val="24"/>
        </w:rPr>
      </w:pPr>
      <w:r>
        <w:rPr>
          <w:rFonts w:cs="Arial" w:ascii="Arial" w:hAnsi="Arial"/>
          <w:color w:val="00000A"/>
          <w:sz w:val="24"/>
          <w:szCs w:val="24"/>
        </w:rPr>
        <w:t xml:space="preserve">Qualificar a estrutura e gestão da Revista científica do CEFD. </w:t>
      </w:r>
    </w:p>
    <w:p>
      <w:pPr>
        <w:pStyle w:val="ListParagraph"/>
        <w:jc w:val="both"/>
        <w:rPr>
          <w:rFonts w:ascii="Arial" w:hAnsi="Arial" w:cs="Arial"/>
          <w:color w:val="00000A"/>
          <w:sz w:val="24"/>
          <w:szCs w:val="24"/>
        </w:rPr>
      </w:pPr>
      <w:r>
        <w:rPr>
          <w:rFonts w:cs="Arial" w:ascii="Arial" w:hAnsi="Arial"/>
          <w:color w:val="00000A"/>
          <w:sz w:val="24"/>
          <w:szCs w:val="24"/>
        </w:rPr>
      </w:r>
    </w:p>
    <w:p>
      <w:pPr>
        <w:pStyle w:val="ListParagraph"/>
        <w:jc w:val="both"/>
        <w:rPr>
          <w:rFonts w:ascii="Arial" w:hAnsi="Arial" w:cs="Arial"/>
          <w:color w:val="00000A"/>
          <w:sz w:val="24"/>
          <w:szCs w:val="24"/>
        </w:rPr>
      </w:pPr>
      <w:r>
        <w:rPr>
          <w:rFonts w:cs="Arial" w:ascii="Arial" w:hAnsi="Arial"/>
          <w:color w:val="00000A"/>
          <w:sz w:val="24"/>
          <w:szCs w:val="24"/>
        </w:rPr>
      </w:r>
    </w:p>
    <w:p>
      <w:pPr>
        <w:pStyle w:val="ListParagraph"/>
        <w:ind w:left="0" w:hanging="0"/>
        <w:jc w:val="both"/>
        <w:rPr>
          <w:rFonts w:ascii="Arial" w:hAnsi="Arial" w:cs="Arial"/>
          <w:color w:val="00000A"/>
          <w:sz w:val="24"/>
          <w:szCs w:val="24"/>
          <w:u w:val="single"/>
        </w:rPr>
      </w:pPr>
      <w:r>
        <w:rPr>
          <w:rFonts w:cs="Arial" w:ascii="Arial" w:hAnsi="Arial"/>
          <w:color w:val="00000A"/>
          <w:sz w:val="24"/>
          <w:szCs w:val="24"/>
        </w:rPr>
        <w:t xml:space="preserve">Desafio 5: </w:t>
      </w:r>
      <w:r>
        <w:rPr>
          <w:rFonts w:cs="Arial" w:ascii="Arial" w:hAnsi="Arial"/>
          <w:color w:val="00000A"/>
          <w:sz w:val="24"/>
          <w:szCs w:val="24"/>
          <w:u w:val="single"/>
        </w:rPr>
        <w:t>Modernização e Desenvolvimento organizacional</w:t>
      </w:r>
    </w:p>
    <w:p>
      <w:pPr>
        <w:pStyle w:val="ListParagraph"/>
        <w:ind w:left="0" w:hanging="0"/>
        <w:jc w:val="both"/>
        <w:rPr>
          <w:rFonts w:ascii="Arial" w:hAnsi="Arial" w:cs="Arial"/>
          <w:color w:val="00000A"/>
          <w:sz w:val="24"/>
          <w:szCs w:val="24"/>
          <w:u w:val="single"/>
        </w:rPr>
      </w:pPr>
      <w:r>
        <w:rPr>
          <w:rFonts w:cs="Arial" w:ascii="Arial" w:hAnsi="Arial"/>
          <w:color w:val="00000A"/>
          <w:sz w:val="24"/>
          <w:szCs w:val="24"/>
          <w:u w:val="single"/>
        </w:rPr>
      </w:r>
    </w:p>
    <w:p>
      <w:pPr>
        <w:pStyle w:val="ListParagraph"/>
        <w:ind w:left="0" w:hanging="0"/>
        <w:jc w:val="both"/>
        <w:rPr>
          <w:rFonts w:ascii="Arial" w:hAnsi="Arial" w:cs="Arial"/>
          <w:color w:val="00000A"/>
          <w:sz w:val="24"/>
          <w:szCs w:val="24"/>
          <w:u w:val="single"/>
        </w:rPr>
      </w:pPr>
      <w:r>
        <w:rPr>
          <w:rFonts w:cs="Arial" w:ascii="Arial" w:hAnsi="Arial"/>
          <w:color w:val="00000A"/>
          <w:sz w:val="24"/>
          <w:szCs w:val="24"/>
          <w:u w:val="single"/>
        </w:rPr>
      </w:r>
    </w:p>
    <w:p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color w:val="00000A"/>
          <w:sz w:val="24"/>
          <w:szCs w:val="24"/>
        </w:rPr>
      </w:pPr>
      <w:r>
        <w:rPr>
          <w:rFonts w:cs="Arial" w:ascii="Arial" w:hAnsi="Arial"/>
          <w:color w:val="00000A"/>
          <w:sz w:val="24"/>
          <w:szCs w:val="24"/>
        </w:rPr>
        <w:t>Realizar levantamento de necessidades de acessibilidade e sustentabilidade.</w:t>
      </w:r>
    </w:p>
    <w:p>
      <w:pPr>
        <w:pStyle w:val="Normal"/>
        <w:jc w:val="both"/>
        <w:rPr>
          <w:rFonts w:ascii="Arial" w:hAnsi="Arial" w:cs="Arial"/>
          <w:color w:val="00000A"/>
          <w:sz w:val="24"/>
          <w:szCs w:val="24"/>
        </w:rPr>
      </w:pPr>
      <w:r>
        <w:rPr>
          <w:rFonts w:cs="Arial" w:ascii="Arial" w:hAnsi="Arial"/>
          <w:color w:val="00000A"/>
          <w:sz w:val="24"/>
          <w:szCs w:val="24"/>
        </w:rPr>
      </w:r>
    </w:p>
    <w:p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color w:val="00000A"/>
          <w:sz w:val="24"/>
          <w:szCs w:val="24"/>
        </w:rPr>
      </w:pPr>
      <w:r>
        <w:rPr>
          <w:rFonts w:cs="Arial" w:ascii="Arial" w:hAnsi="Arial"/>
          <w:color w:val="00000A"/>
          <w:sz w:val="24"/>
          <w:szCs w:val="24"/>
        </w:rPr>
        <w:t>Modernizar a infraestrutura de TI para suportar as necessidades acadêmicas e administrativas.</w:t>
      </w:r>
    </w:p>
    <w:p>
      <w:pPr>
        <w:pStyle w:val="ListParagraph"/>
        <w:ind w:left="786" w:hanging="0"/>
        <w:jc w:val="both"/>
        <w:rPr>
          <w:rFonts w:ascii="Arial" w:hAnsi="Arial" w:cs="Arial"/>
          <w:color w:val="00000A"/>
          <w:sz w:val="24"/>
          <w:szCs w:val="24"/>
        </w:rPr>
      </w:pPr>
      <w:r>
        <w:rPr>
          <w:rFonts w:cs="Arial" w:ascii="Arial" w:hAnsi="Arial"/>
          <w:color w:val="00000A"/>
          <w:sz w:val="24"/>
          <w:szCs w:val="24"/>
        </w:rPr>
      </w:r>
    </w:p>
    <w:p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color w:val="00000A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Zelar pela melhor aplicação dos recursos públicos, evitando desperdícios, através de aconselhamentos e disponibilização de informações necessárias.</w:t>
      </w:r>
    </w:p>
    <w:p>
      <w:pPr>
        <w:pStyle w:val="ListParagraph"/>
        <w:rPr>
          <w:rFonts w:ascii="Arial" w:hAnsi="Arial" w:cs="Arial"/>
          <w:color w:val="00000A"/>
          <w:sz w:val="24"/>
          <w:szCs w:val="24"/>
        </w:rPr>
      </w:pPr>
      <w:r>
        <w:rPr>
          <w:rFonts w:cs="Arial" w:ascii="Arial" w:hAnsi="Arial"/>
          <w:color w:val="00000A"/>
          <w:sz w:val="24"/>
          <w:szCs w:val="24"/>
        </w:rPr>
      </w:r>
    </w:p>
    <w:p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color w:val="00000A"/>
          <w:sz w:val="24"/>
          <w:szCs w:val="24"/>
        </w:rPr>
      </w:pPr>
      <w:r>
        <w:rPr>
          <w:rFonts w:cs="Arial" w:ascii="Arial" w:hAnsi="Arial"/>
          <w:color w:val="00000A"/>
          <w:sz w:val="24"/>
          <w:szCs w:val="24"/>
        </w:rPr>
        <w:t>Aprofundar a utilização das tecnologias da informação.</w:t>
      </w:r>
    </w:p>
    <w:p>
      <w:pPr>
        <w:pStyle w:val="ListParagraph"/>
        <w:rPr>
          <w:rFonts w:ascii="Arial" w:hAnsi="Arial" w:cs="Arial"/>
          <w:color w:val="00000A"/>
          <w:sz w:val="24"/>
          <w:szCs w:val="24"/>
        </w:rPr>
      </w:pPr>
      <w:r>
        <w:rPr>
          <w:rFonts w:cs="Arial" w:ascii="Arial" w:hAnsi="Arial"/>
          <w:color w:val="00000A"/>
          <w:sz w:val="24"/>
          <w:szCs w:val="24"/>
        </w:rPr>
      </w:r>
    </w:p>
    <w:p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Manter atualizada a planilha de execução orçamentária, permitindo que haja transparência na utilização dos recursos e acesso rápido às informações orçamentárias de cada unidade e subunidade do CEFD.</w:t>
      </w:r>
    </w:p>
    <w:p>
      <w:pPr>
        <w:pStyle w:val="ListParagraph"/>
        <w:ind w:left="786" w:hanging="0"/>
        <w:jc w:val="both"/>
        <w:rPr>
          <w:rFonts w:ascii="Arial" w:hAnsi="Arial" w:cs="Arial"/>
          <w:color w:val="00000A"/>
          <w:sz w:val="24"/>
          <w:szCs w:val="24"/>
        </w:rPr>
      </w:pPr>
      <w:r>
        <w:rPr>
          <w:rFonts w:cs="Arial" w:ascii="Arial" w:hAnsi="Arial"/>
          <w:color w:val="00000A"/>
          <w:sz w:val="24"/>
          <w:szCs w:val="24"/>
        </w:rPr>
      </w:r>
    </w:p>
    <w:p>
      <w:pPr>
        <w:pStyle w:val="ListParagraph"/>
        <w:ind w:left="786" w:hanging="0"/>
        <w:jc w:val="both"/>
        <w:rPr>
          <w:rFonts w:ascii="Arial" w:hAnsi="Arial" w:cs="Arial"/>
          <w:color w:val="00000A"/>
          <w:sz w:val="24"/>
          <w:szCs w:val="24"/>
        </w:rPr>
      </w:pPr>
      <w:r>
        <w:rPr>
          <w:rFonts w:cs="Arial" w:ascii="Arial" w:hAnsi="Arial"/>
          <w:color w:val="00000A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color w:val="00000A"/>
          <w:sz w:val="24"/>
          <w:szCs w:val="24"/>
          <w:u w:val="single"/>
        </w:rPr>
      </w:pPr>
      <w:r>
        <w:rPr>
          <w:rFonts w:cs="Arial" w:ascii="Arial" w:hAnsi="Arial"/>
          <w:color w:val="00000A"/>
          <w:sz w:val="24"/>
          <w:szCs w:val="24"/>
        </w:rPr>
        <w:t xml:space="preserve">Desafio 6: </w:t>
      </w:r>
      <w:r>
        <w:rPr>
          <w:rFonts w:cs="Arial" w:ascii="Arial" w:hAnsi="Arial"/>
          <w:color w:val="00000A"/>
          <w:sz w:val="24"/>
          <w:szCs w:val="24"/>
          <w:u w:val="single"/>
        </w:rPr>
        <w:t>Desenvolvimento Local, Regional e Nacional</w:t>
      </w:r>
    </w:p>
    <w:p>
      <w:pPr>
        <w:pStyle w:val="Normal"/>
        <w:jc w:val="both"/>
        <w:rPr>
          <w:rFonts w:ascii="Arial" w:hAnsi="Arial" w:cs="Arial"/>
          <w:color w:val="00000A"/>
          <w:sz w:val="24"/>
          <w:szCs w:val="24"/>
          <w:u w:val="single"/>
        </w:rPr>
      </w:pPr>
      <w:r>
        <w:rPr>
          <w:rFonts w:cs="Arial" w:ascii="Arial" w:hAnsi="Arial"/>
          <w:color w:val="00000A"/>
          <w:sz w:val="24"/>
          <w:szCs w:val="24"/>
          <w:u w:val="single"/>
        </w:rPr>
      </w:r>
    </w:p>
    <w:p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color w:val="00000A"/>
          <w:sz w:val="24"/>
          <w:szCs w:val="24"/>
        </w:rPr>
      </w:pPr>
      <w:r>
        <w:rPr>
          <w:rFonts w:cs="Arial" w:ascii="Arial" w:hAnsi="Arial"/>
          <w:color w:val="00000A"/>
          <w:sz w:val="24"/>
          <w:szCs w:val="24"/>
        </w:rPr>
        <w:t>Identificar e aprofundar ações de pesquisa entre o CEFD com instituições públicas e privadas como academias, ONGS, Clubes, Associações comunitárias, Ligas, Instituições de Ensino, Prefeituras, entre outros.</w:t>
      </w:r>
    </w:p>
    <w:p>
      <w:pPr>
        <w:pStyle w:val="ListParagraph"/>
        <w:jc w:val="both"/>
        <w:rPr>
          <w:rFonts w:ascii="Arial" w:hAnsi="Arial" w:cs="Arial"/>
          <w:color w:val="00000A"/>
          <w:sz w:val="24"/>
          <w:szCs w:val="24"/>
        </w:rPr>
      </w:pPr>
      <w:r>
        <w:rPr>
          <w:rFonts w:cs="Arial" w:ascii="Arial" w:hAnsi="Arial"/>
          <w:color w:val="00000A"/>
          <w:sz w:val="24"/>
          <w:szCs w:val="24"/>
        </w:rPr>
      </w:r>
    </w:p>
    <w:p>
      <w:pPr>
        <w:pStyle w:val="ListParagraph"/>
        <w:numPr>
          <w:ilvl w:val="0"/>
          <w:numId w:val="6"/>
        </w:numPr>
        <w:rPr>
          <w:rFonts w:ascii="Arial" w:hAnsi="Arial" w:cs="Arial"/>
          <w:color w:val="00000A"/>
          <w:sz w:val="24"/>
          <w:szCs w:val="24"/>
        </w:rPr>
      </w:pPr>
      <w:r>
        <w:rPr>
          <w:rFonts w:cs="Arial" w:ascii="Arial" w:hAnsi="Arial"/>
          <w:color w:val="00000A"/>
          <w:sz w:val="24"/>
          <w:szCs w:val="24"/>
        </w:rPr>
        <w:t>Identificar, construir e manter relações com lideranças locais e regionais, buscando aproximar a Universidade e os diferentes segmentos da sociedade.</w:t>
      </w:r>
    </w:p>
    <w:p>
      <w:pPr>
        <w:pStyle w:val="ListParagraph"/>
        <w:rPr>
          <w:rFonts w:ascii="Arial" w:hAnsi="Arial" w:cs="Arial"/>
          <w:color w:val="00000A"/>
          <w:sz w:val="24"/>
          <w:szCs w:val="24"/>
        </w:rPr>
      </w:pPr>
      <w:r>
        <w:rPr>
          <w:rFonts w:cs="Arial" w:ascii="Arial" w:hAnsi="Arial"/>
          <w:color w:val="00000A"/>
          <w:sz w:val="24"/>
          <w:szCs w:val="24"/>
        </w:rPr>
      </w:r>
    </w:p>
    <w:p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color w:val="00000A"/>
          <w:sz w:val="24"/>
          <w:szCs w:val="24"/>
        </w:rPr>
      </w:pPr>
      <w:r>
        <w:rPr>
          <w:rFonts w:cs="Arial" w:ascii="Arial" w:hAnsi="Arial"/>
          <w:color w:val="00000A"/>
          <w:sz w:val="24"/>
          <w:szCs w:val="24"/>
        </w:rPr>
        <w:t>Fomentar o planejamento e a realização de eventos que visem o compartilhar de saberes entre as diferentes áreas do CEFD a partir do ensino, da pesquisa e da extensão: esportivos, artísticos e culturais.</w:t>
      </w:r>
    </w:p>
    <w:p>
      <w:pPr>
        <w:pStyle w:val="ListParagraph"/>
        <w:rPr>
          <w:rFonts w:ascii="Arial" w:hAnsi="Arial" w:cs="Arial"/>
          <w:color w:val="00000A"/>
          <w:sz w:val="24"/>
          <w:szCs w:val="24"/>
        </w:rPr>
      </w:pPr>
      <w:r>
        <w:rPr>
          <w:rFonts w:cs="Arial" w:ascii="Arial" w:hAnsi="Arial"/>
          <w:color w:val="00000A"/>
          <w:sz w:val="24"/>
          <w:szCs w:val="24"/>
        </w:rPr>
      </w:r>
    </w:p>
    <w:p>
      <w:pPr>
        <w:pStyle w:val="Standard"/>
        <w:numPr>
          <w:ilvl w:val="0"/>
          <w:numId w:val="6"/>
        </w:numPr>
        <w:rPr>
          <w:rFonts w:ascii="Arial" w:hAnsi="Arial" w:cs="Arial"/>
        </w:rPr>
      </w:pPr>
      <w:r>
        <w:rPr>
          <w:rFonts w:cs="Arial" w:ascii="Arial" w:hAnsi="Arial"/>
          <w:color w:val="1D2228"/>
        </w:rPr>
        <w:t>Trabalhar pela reabertura dos diversos projetos e ações voltados para a comunidade, que foram desativados com o fim da ADUFSM.</w:t>
      </w:r>
    </w:p>
    <w:p>
      <w:pPr>
        <w:pStyle w:val="Standard"/>
        <w:ind w:left="72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color w:val="00000A"/>
          <w:sz w:val="24"/>
          <w:szCs w:val="24"/>
        </w:rPr>
      </w:pPr>
      <w:r>
        <w:rPr>
          <w:rFonts w:cs="Arial" w:ascii="Arial" w:hAnsi="Arial"/>
          <w:color w:val="00000A"/>
          <w:sz w:val="24"/>
          <w:szCs w:val="24"/>
        </w:rPr>
        <w:t>Incentivar a participação das equipes esportivas e grupos e Companhias de Dança em eventos nacionais.</w:t>
      </w:r>
    </w:p>
    <w:p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ind w:left="720" w:hanging="720"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</w:rPr>
        <w:t xml:space="preserve">Desafio 7:  </w:t>
      </w:r>
      <w:r>
        <w:rPr>
          <w:rFonts w:cs="Arial" w:ascii="Arial" w:hAnsi="Arial"/>
          <w:sz w:val="24"/>
          <w:szCs w:val="24"/>
          <w:u w:val="single"/>
        </w:rPr>
        <w:t>Gestão Ambiental</w:t>
      </w:r>
    </w:p>
    <w:p>
      <w:pPr>
        <w:pStyle w:val="ListParagraph"/>
        <w:ind w:left="720" w:hanging="720"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</w:r>
    </w:p>
    <w:p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color w:val="00000A"/>
          <w:sz w:val="24"/>
          <w:szCs w:val="24"/>
        </w:rPr>
      </w:pPr>
      <w:r>
        <w:rPr>
          <w:rFonts w:cs="Arial" w:ascii="Arial" w:hAnsi="Arial"/>
          <w:color w:val="00000A"/>
          <w:sz w:val="24"/>
          <w:szCs w:val="24"/>
        </w:rPr>
        <w:t>Estimular o desenvolvimento da cultura organizacional voltada para a sustentabilidade e institucionalização e divulgação das ações e práticas atualmente desenvolvidas.</w:t>
      </w:r>
    </w:p>
    <w:p>
      <w:pPr>
        <w:pStyle w:val="ListParagraph"/>
        <w:ind w:left="1080" w:hanging="0"/>
        <w:jc w:val="both"/>
        <w:rPr>
          <w:rFonts w:ascii="Arial" w:hAnsi="Arial" w:cs="Arial"/>
          <w:color w:val="00000A"/>
          <w:sz w:val="24"/>
          <w:szCs w:val="24"/>
        </w:rPr>
      </w:pPr>
      <w:r>
        <w:rPr>
          <w:rFonts w:cs="Arial" w:ascii="Arial" w:hAnsi="Arial"/>
          <w:color w:val="00000A"/>
          <w:sz w:val="24"/>
          <w:szCs w:val="24"/>
        </w:rPr>
      </w:r>
    </w:p>
    <w:p>
      <w:pPr>
        <w:pStyle w:val="ListParagraph"/>
        <w:numPr>
          <w:ilvl w:val="0"/>
          <w:numId w:val="7"/>
        </w:numPr>
        <w:shd w:val="clear" w:color="auto" w:fill="FFFFFF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eastAsia="Times New Roman" w:cs="Arial" w:ascii="Arial" w:hAnsi="Arial"/>
          <w:color w:val="222222"/>
          <w:sz w:val="24"/>
          <w:szCs w:val="24"/>
          <w:lang w:eastAsia="pt-BR"/>
        </w:rPr>
        <w:t>Diminuir o consumo de materiais que agridam o meio ambiente.</w:t>
      </w:r>
    </w:p>
    <w:p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color w:val="00000A"/>
          <w:sz w:val="24"/>
          <w:szCs w:val="24"/>
        </w:rPr>
      </w:pPr>
      <w:r>
        <w:rPr>
          <w:rFonts w:cs="Arial" w:ascii="Arial" w:hAnsi="Arial"/>
          <w:color w:val="00000A"/>
          <w:sz w:val="24"/>
          <w:szCs w:val="24"/>
        </w:rPr>
        <w:t>Estimular a realização de práticas corporais e esportivas relacionadas ao Meio Ambiente, Ecologia, Saúde Ambiental, Sustentabilidade em ações de Ensino, Pesquisa e Extensão.</w:t>
      </w:r>
    </w:p>
    <w:p>
      <w:pPr>
        <w:pStyle w:val="ListParagraph"/>
        <w:ind w:left="1080" w:hanging="0"/>
        <w:jc w:val="both"/>
        <w:rPr>
          <w:rFonts w:ascii="Arial" w:hAnsi="Arial" w:cs="Arial"/>
          <w:color w:val="00000A"/>
          <w:sz w:val="24"/>
          <w:szCs w:val="24"/>
        </w:rPr>
      </w:pPr>
      <w:r>
        <w:rPr>
          <w:rFonts w:cs="Arial" w:ascii="Arial" w:hAnsi="Arial"/>
          <w:color w:val="00000A"/>
          <w:sz w:val="24"/>
          <w:szCs w:val="24"/>
        </w:rPr>
      </w:r>
    </w:p>
    <w:p>
      <w:pPr>
        <w:pStyle w:val="ListParagraph"/>
        <w:ind w:left="1080" w:hanging="0"/>
        <w:jc w:val="both"/>
        <w:rPr>
          <w:rFonts w:ascii="Arial" w:hAnsi="Arial" w:cs="Arial"/>
          <w:color w:val="00000A"/>
          <w:sz w:val="24"/>
          <w:szCs w:val="24"/>
        </w:rPr>
      </w:pPr>
      <w:r>
        <w:rPr>
          <w:rFonts w:cs="Arial" w:ascii="Arial" w:hAnsi="Arial"/>
          <w:color w:val="00000A"/>
          <w:sz w:val="24"/>
          <w:szCs w:val="24"/>
        </w:rPr>
      </w:r>
    </w:p>
    <w:p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color w:val="00000A"/>
          <w:sz w:val="24"/>
          <w:szCs w:val="24"/>
        </w:rPr>
        <w:t>Proporcionar a ampliação e institucionalização dos projetos voltados para a racionalização dos usos dos recursos naturais e conscientização sobre práticas sustentáveis.</w:t>
      </w:r>
    </w:p>
    <w:p>
      <w:pPr>
        <w:pStyle w:val="ListParagraph"/>
        <w:ind w:left="1080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andard"/>
        <w:widowControl w:val="false"/>
        <w:numPr>
          <w:ilvl w:val="0"/>
          <w:numId w:val="7"/>
        </w:numPr>
        <w:tabs>
          <w:tab w:val="left" w:pos="720" w:leader="none"/>
        </w:tabs>
        <w:spacing w:lineRule="exact" w:line="240" w:before="0" w:after="160"/>
        <w:jc w:val="both"/>
        <w:rPr>
          <w:rFonts w:ascii="Arial" w:hAnsi="Arial" w:cs="Arial"/>
          <w:color w:val="1D2228"/>
        </w:rPr>
      </w:pPr>
      <w:r>
        <w:rPr>
          <w:rFonts w:cs="Arial" w:ascii="Arial" w:hAnsi="Arial"/>
          <w:color w:val="1D2228"/>
        </w:rPr>
        <w:t>Incentivar o bom uso dos materiais, equipamentos e estrutura do CEFD.</w:t>
      </w:r>
    </w:p>
    <w:p>
      <w:pPr>
        <w:pStyle w:val="ListParagraph"/>
        <w:ind w:left="1080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ind w:left="1080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ind w:left="1080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ind w:left="1080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ind w:left="1080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ind w:left="1080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ind w:left="1080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ind w:left="1080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ind w:left="1080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ind w:left="1080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ind w:left="1080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ind w:left="1080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ind w:left="1080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ind w:left="1080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jc w:val="both"/>
        <w:rPr>
          <w:rFonts w:ascii="Arial" w:hAnsi="Arial" w:cs="Arial"/>
          <w:color w:val="00000A"/>
          <w:sz w:val="24"/>
          <w:szCs w:val="24"/>
        </w:rPr>
      </w:pPr>
      <w:r>
        <w:rPr>
          <w:rFonts w:cs="Arial" w:ascii="Arial" w:hAnsi="Arial"/>
          <w:b/>
          <w:bCs/>
          <w:color w:val="00000A"/>
          <w:sz w:val="24"/>
          <w:szCs w:val="24"/>
        </w:rPr>
        <w:t>2.5 QUINTA FASE – PLANOS DE AÇÃO E SELEÇÃO DE INDICADORES</w:t>
      </w:r>
    </w:p>
    <w:p>
      <w:pPr>
        <w:pStyle w:val="Caption"/>
        <w:rPr>
          <w:b/>
          <w:b/>
          <w:bCs/>
        </w:rPr>
      </w:pPr>
      <w:r>
        <w:rPr>
          <w:rFonts w:cs="Arial" w:ascii="Arial" w:hAnsi="Arial"/>
          <w:b/>
          <w:bCs/>
          <w:i w:val="false"/>
          <w:u w:val="single"/>
        </w:rPr>
        <w:t xml:space="preserve">Internacionalização </w:t>
      </w:r>
      <w:r>
        <w:rPr>
          <w:rFonts w:cs="Arial" w:ascii="Arial" w:hAnsi="Arial"/>
          <w:b/>
          <w:bCs/>
          <w:i w:val="false"/>
        </w:rPr>
        <w:t>(D1)</w:t>
      </w:r>
    </w:p>
    <w:p>
      <w:pPr>
        <w:pStyle w:val="Caption"/>
        <w:rPr/>
      </w:pPr>
      <w:r>
        <w:rPr/>
      </w:r>
    </w:p>
    <w:tbl>
      <w:tblPr>
        <w:tblStyle w:val="Tabelacomgrade"/>
        <w:tblW w:w="7934" w:type="dxa"/>
        <w:jc w:val="left"/>
        <w:tblInd w:w="770" w:type="dxa"/>
        <w:tblBorders/>
        <w:tblCellMar>
          <w:top w:w="0" w:type="dxa"/>
          <w:left w:w="9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61"/>
        <w:gridCol w:w="2628"/>
        <w:gridCol w:w="2645"/>
      </w:tblGrid>
      <w:tr>
        <w:trPr/>
        <w:tc>
          <w:tcPr>
            <w:tcW w:w="2661" w:type="dxa"/>
            <w:tcBorders/>
            <w:shd w:color="auto" w:fill="auto" w:val="clear"/>
          </w:tcPr>
          <w:p>
            <w:pPr>
              <w:pStyle w:val="Standard"/>
              <w:widowControl w:val="false"/>
              <w:tabs>
                <w:tab w:val="left" w:pos="720" w:leader="none"/>
              </w:tabs>
              <w:spacing w:lineRule="auto" w:line="360"/>
              <w:jc w:val="both"/>
              <w:rPr/>
            </w:pPr>
            <w:r>
              <w:rPr>
                <w:rFonts w:eastAsia="Calibri" w:cs="Arial" w:ascii="Arial" w:hAnsi="Arial"/>
                <w:b/>
                <w:color w:val="000000"/>
                <w:sz w:val="20"/>
              </w:rPr>
              <w:t>OBJETIVOS</w:t>
            </w:r>
          </w:p>
        </w:tc>
        <w:tc>
          <w:tcPr>
            <w:tcW w:w="2628" w:type="dxa"/>
            <w:tcBorders/>
            <w:shd w:color="auto" w:fill="auto" w:val="clear"/>
          </w:tcPr>
          <w:p>
            <w:pPr>
              <w:pStyle w:val="Standard"/>
              <w:widowControl w:val="false"/>
              <w:tabs>
                <w:tab w:val="left" w:pos="720" w:leader="none"/>
              </w:tabs>
              <w:spacing w:lineRule="auto" w:line="360"/>
              <w:jc w:val="both"/>
              <w:rPr/>
            </w:pPr>
            <w:r>
              <w:rPr>
                <w:rFonts w:eastAsia="Calibri" w:cs="Arial" w:ascii="Arial" w:hAnsi="Arial"/>
                <w:b/>
                <w:color w:val="000000"/>
                <w:sz w:val="20"/>
              </w:rPr>
              <w:t>AÇÕES</w:t>
            </w:r>
          </w:p>
        </w:tc>
        <w:tc>
          <w:tcPr>
            <w:tcW w:w="2645" w:type="dxa"/>
            <w:tcBorders/>
            <w:shd w:color="auto" w:fill="auto" w:val="clear"/>
          </w:tcPr>
          <w:p>
            <w:pPr>
              <w:pStyle w:val="Standard"/>
              <w:widowControl w:val="false"/>
              <w:tabs>
                <w:tab w:val="left" w:pos="720" w:leader="none"/>
              </w:tabs>
              <w:spacing w:lineRule="auto" w:line="360"/>
              <w:jc w:val="both"/>
              <w:rPr/>
            </w:pPr>
            <w:r>
              <w:rPr>
                <w:rFonts w:eastAsia="Calibri" w:cs="Arial" w:ascii="Arial" w:hAnsi="Arial"/>
                <w:b/>
                <w:color w:val="000000"/>
                <w:sz w:val="20"/>
              </w:rPr>
              <w:t>INDICADORES</w:t>
            </w:r>
          </w:p>
        </w:tc>
      </w:tr>
      <w:tr>
        <w:trPr/>
        <w:tc>
          <w:tcPr>
            <w:tcW w:w="2661" w:type="dxa"/>
            <w:tcBorders/>
            <w:shd w:color="auto" w:fill="auto" w:val="clear"/>
          </w:tcPr>
          <w:p>
            <w:pPr>
              <w:pStyle w:val="Standard"/>
              <w:widowControl w:val="false"/>
              <w:tabs>
                <w:tab w:val="left" w:pos="720" w:leader="none"/>
              </w:tabs>
              <w:jc w:val="both"/>
              <w:rPr/>
            </w:pPr>
            <w:r>
              <w:rPr>
                <w:rFonts w:eastAsia="Calibri" w:cs="Arial" w:ascii="Arial" w:hAnsi="Arial"/>
                <w:sz w:val="20"/>
                <w:szCs w:val="20"/>
              </w:rPr>
              <w:t>1) Estimular a qualificação e formação continuada de alunos, docentes e técnicos em Programas no exterior.</w:t>
            </w:r>
          </w:p>
        </w:tc>
        <w:tc>
          <w:tcPr>
            <w:tcW w:w="2628" w:type="dxa"/>
            <w:tcBorders/>
            <w:shd w:color="auto" w:fill="auto" w:val="clear"/>
          </w:tcPr>
          <w:p>
            <w:pPr>
              <w:pStyle w:val="Standard"/>
              <w:widowControl w:val="false"/>
              <w:tabs>
                <w:tab w:val="left" w:pos="720" w:leader="none"/>
              </w:tabs>
              <w:jc w:val="both"/>
              <w:rPr/>
            </w:pPr>
            <w:r>
              <w:rPr>
                <w:rFonts w:eastAsia="Calibri" w:cs="Arial" w:ascii="Arial" w:hAnsi="Arial"/>
                <w:color w:val="000000"/>
                <w:sz w:val="20"/>
                <w:szCs w:val="20"/>
              </w:rPr>
              <w:t>- Organização de Seminário semestralmente: “CEFD no exterior” em parceria SAI, PROGEP,</w:t>
            </w:r>
            <w:bookmarkStart w:id="3" w:name="_GoBack1"/>
            <w:bookmarkEnd w:id="3"/>
            <w:r>
              <w:rPr>
                <w:rFonts w:eastAsia="Calibri" w:cs="Arial" w:ascii="Arial" w:hAnsi="Arial"/>
                <w:color w:val="000000"/>
                <w:sz w:val="20"/>
                <w:szCs w:val="20"/>
              </w:rPr>
              <w:t xml:space="preserve"> PRPGP, UAP.</w:t>
            </w:r>
          </w:p>
          <w:p>
            <w:pPr>
              <w:pStyle w:val="Standard"/>
              <w:widowControl w:val="false"/>
              <w:tabs>
                <w:tab w:val="left" w:pos="720" w:leader="none"/>
              </w:tabs>
              <w:jc w:val="both"/>
              <w:rPr/>
            </w:pPr>
            <w:r>
              <w:rPr>
                <w:rFonts w:eastAsia="Calibri" w:cs="Arial" w:ascii="Arial" w:hAnsi="Arial"/>
                <w:color w:val="000000"/>
                <w:sz w:val="20"/>
                <w:szCs w:val="20"/>
              </w:rPr>
              <w:t>- Solicitar um Plano de ação de cada subunidade em relação a internacionalização.</w:t>
            </w:r>
          </w:p>
          <w:p>
            <w:pPr>
              <w:pStyle w:val="Standard"/>
              <w:widowControl w:val="false"/>
              <w:tabs>
                <w:tab w:val="left" w:pos="720" w:leader="none"/>
              </w:tabs>
              <w:jc w:val="both"/>
              <w:rPr/>
            </w:pPr>
            <w:r>
              <w:rPr>
                <w:rFonts w:eastAsia="Calibri" w:cs="Arial" w:ascii="Arial" w:hAnsi="Arial"/>
                <w:color w:val="000000"/>
                <w:sz w:val="20"/>
                <w:szCs w:val="20"/>
              </w:rPr>
              <w:t xml:space="preserve">- </w:t>
            </w:r>
            <w:r>
              <w:rPr>
                <w:rFonts w:eastAsia="Calibri" w:cs="Arial" w:ascii="Arial" w:hAnsi="Arial"/>
                <w:color w:val="00000A"/>
                <w:sz w:val="20"/>
                <w:szCs w:val="20"/>
              </w:rPr>
              <w:t>Auxílio financeiro a docentes para apresentar trabalhos em eventos  no exterior</w:t>
            </w:r>
          </w:p>
          <w:p>
            <w:pPr>
              <w:pStyle w:val="Standard"/>
              <w:widowControl w:val="false"/>
              <w:tabs>
                <w:tab w:val="left" w:pos="720" w:leader="none"/>
              </w:tabs>
              <w:jc w:val="both"/>
              <w:rPr/>
            </w:pPr>
            <w:r>
              <w:rPr>
                <w:rFonts w:eastAsia="Calibri" w:cs="Arial" w:ascii="Arial" w:hAnsi="Arial"/>
                <w:color w:val="000000"/>
                <w:sz w:val="20"/>
                <w:szCs w:val="20"/>
              </w:rPr>
              <w:t>- Criação de um setor de divulgação e sistematização das ações e intercâmbios internacionais junto ao GAP;</w:t>
            </w:r>
          </w:p>
          <w:p>
            <w:pPr>
              <w:pStyle w:val="Standard"/>
              <w:widowControl w:val="false"/>
              <w:tabs>
                <w:tab w:val="left" w:pos="720" w:leader="none"/>
              </w:tabs>
              <w:jc w:val="both"/>
              <w:rPr/>
            </w:pPr>
            <w:r>
              <w:rPr>
                <w:rFonts w:eastAsia="Calibri" w:cs="Arial" w:ascii="Arial" w:hAnsi="Arial"/>
                <w:color w:val="000000"/>
                <w:sz w:val="20"/>
                <w:szCs w:val="20"/>
              </w:rPr>
              <w:t xml:space="preserve">- </w:t>
            </w:r>
            <w:r>
              <w:rPr>
                <w:rFonts w:cs="Arial" w:ascii="Arial" w:hAnsi="Arial"/>
                <w:sz w:val="20"/>
                <w:szCs w:val="20"/>
              </w:rPr>
              <w:t>Premiar o(s) melhor(es) aluno(s) com uma passagem para intercâmbio acadêmico para um dos países com que o CEFD mantém convênio.</w:t>
            </w:r>
          </w:p>
        </w:tc>
        <w:tc>
          <w:tcPr>
            <w:tcW w:w="2645" w:type="dxa"/>
            <w:tcBorders/>
            <w:shd w:color="auto" w:fill="auto" w:val="clear"/>
          </w:tcPr>
          <w:p>
            <w:pPr>
              <w:pStyle w:val="Standard"/>
              <w:widowControl w:val="false"/>
              <w:tabs>
                <w:tab w:val="left" w:pos="720" w:leader="none"/>
              </w:tabs>
              <w:jc w:val="both"/>
              <w:rPr/>
            </w:pPr>
            <w:r>
              <w:rPr>
                <w:rFonts w:eastAsia="Calibri" w:cs="Arial" w:ascii="Arial" w:hAnsi="Arial"/>
                <w:color w:val="000000"/>
                <w:sz w:val="20"/>
                <w:szCs w:val="20"/>
              </w:rPr>
              <w:t>- Ficha de avaliação do evento.</w:t>
            </w:r>
          </w:p>
          <w:p>
            <w:pPr>
              <w:pStyle w:val="Standard"/>
              <w:widowControl w:val="false"/>
              <w:tabs>
                <w:tab w:val="left" w:pos="720" w:leader="none"/>
              </w:tabs>
              <w:jc w:val="both"/>
              <w:rPr/>
            </w:pPr>
            <w:r>
              <w:rPr>
                <w:rFonts w:eastAsia="Calibri" w:cs="Arial" w:ascii="Arial" w:hAnsi="Arial"/>
                <w:color w:val="000000"/>
                <w:sz w:val="20"/>
                <w:szCs w:val="20"/>
              </w:rPr>
              <w:t>- Número anual de intercâmbios ou estágios no exterior.</w:t>
            </w:r>
          </w:p>
          <w:p>
            <w:pPr>
              <w:pStyle w:val="Standard"/>
              <w:widowControl w:val="false"/>
              <w:tabs>
                <w:tab w:val="left" w:pos="720" w:leader="none"/>
              </w:tabs>
              <w:jc w:val="both"/>
              <w:rPr/>
            </w:pPr>
            <w:r>
              <w:rPr>
                <w:rFonts w:eastAsia="Calibri" w:cs="Arial" w:ascii="Arial" w:hAnsi="Arial"/>
                <w:color w:val="000000"/>
                <w:sz w:val="20"/>
                <w:szCs w:val="20"/>
              </w:rPr>
              <w:t>- Número anual de trabalhos apresentados no exterior. Ficha de avaliação do evento.</w:t>
            </w:r>
          </w:p>
          <w:p>
            <w:pPr>
              <w:pStyle w:val="Standard"/>
              <w:widowControl w:val="false"/>
              <w:tabs>
                <w:tab w:val="left" w:pos="720" w:leader="none"/>
              </w:tabs>
              <w:jc w:val="both"/>
              <w:rPr/>
            </w:pPr>
            <w:r>
              <w:rPr>
                <w:rFonts w:eastAsia="Calibri" w:cs="Arial" w:ascii="Arial" w:hAnsi="Arial"/>
                <w:color w:val="000000"/>
                <w:sz w:val="20"/>
                <w:szCs w:val="20"/>
              </w:rPr>
              <w:t>- Número anual de intercâmbios ou estágios no exterior.</w:t>
            </w:r>
          </w:p>
          <w:p>
            <w:pPr>
              <w:pStyle w:val="Standard"/>
              <w:widowControl w:val="false"/>
              <w:tabs>
                <w:tab w:val="left" w:pos="720" w:leader="none"/>
              </w:tabs>
              <w:jc w:val="both"/>
              <w:rPr/>
            </w:pPr>
            <w:r>
              <w:rPr>
                <w:rFonts w:eastAsia="Calibri" w:cs="Arial" w:ascii="Arial" w:hAnsi="Arial"/>
                <w:color w:val="000000"/>
                <w:sz w:val="20"/>
                <w:szCs w:val="20"/>
              </w:rPr>
              <w:t>- Plano de ações das subunidades;</w:t>
            </w:r>
          </w:p>
          <w:p>
            <w:pPr>
              <w:pStyle w:val="Standard"/>
              <w:widowControl w:val="false"/>
              <w:tabs>
                <w:tab w:val="left" w:pos="720" w:leader="none"/>
              </w:tabs>
              <w:jc w:val="both"/>
              <w:rPr/>
            </w:pPr>
            <w:r>
              <w:rPr>
                <w:rFonts w:eastAsia="Calibri" w:cs="Arial" w:ascii="Arial" w:hAnsi="Arial"/>
                <w:color w:val="000000"/>
                <w:sz w:val="20"/>
                <w:szCs w:val="20"/>
              </w:rPr>
              <w:t>- Número de alunos que participaram de intercâmbio com apoio do CEFD.</w:t>
            </w:r>
          </w:p>
          <w:p>
            <w:pPr>
              <w:pStyle w:val="Standard"/>
              <w:widowControl w:val="false"/>
              <w:tabs>
                <w:tab w:val="left" w:pos="720" w:leader="none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2661" w:type="dxa"/>
            <w:tcBorders/>
            <w:shd w:color="auto" w:fill="auto" w:val="clear"/>
          </w:tcPr>
          <w:p>
            <w:pPr>
              <w:pStyle w:val="Standard"/>
              <w:widowControl w:val="false"/>
              <w:tabs>
                <w:tab w:val="left" w:pos="720" w:leader="none"/>
              </w:tabs>
              <w:jc w:val="both"/>
              <w:rPr/>
            </w:pPr>
            <w:r>
              <w:rPr>
                <w:rFonts w:eastAsia="Calibri" w:cs="Arial" w:ascii="Arial" w:hAnsi="Arial"/>
                <w:color w:val="000000"/>
                <w:sz w:val="20"/>
                <w:szCs w:val="20"/>
              </w:rPr>
              <w:t>2)</w:t>
            </w:r>
            <w:r>
              <w:rPr>
                <w:rFonts w:eastAsia="Calibri" w:cs="Arial" w:ascii="Arial" w:hAnsi="Arial"/>
                <w:sz w:val="20"/>
                <w:szCs w:val="20"/>
              </w:rPr>
              <w:t xml:space="preserve"> Apoiar iniciativas e projetos de pesquisa, ensino ou extensão que possam alcançar relevância internacional.</w:t>
            </w:r>
          </w:p>
          <w:p>
            <w:pPr>
              <w:pStyle w:val="Standard"/>
              <w:widowControl w:val="false"/>
              <w:tabs>
                <w:tab w:val="left" w:pos="720" w:leader="none"/>
              </w:tabs>
              <w:jc w:val="both"/>
              <w:rPr>
                <w:rFonts w:ascii="Arial" w:hAnsi="Arial" w:eastAsia="Calibri" w:cs="Arial"/>
                <w:color w:val="000000"/>
                <w:sz w:val="20"/>
                <w:szCs w:val="20"/>
              </w:rPr>
            </w:pPr>
            <w:r>
              <w:rPr>
                <w:rFonts w:eastAsia="Calibri"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2628" w:type="dxa"/>
            <w:tcBorders/>
            <w:shd w:color="auto" w:fill="auto" w:val="clear"/>
          </w:tcPr>
          <w:p>
            <w:pPr>
              <w:pStyle w:val="Standard"/>
              <w:widowControl w:val="false"/>
              <w:tabs>
                <w:tab w:val="left" w:pos="720" w:leader="none"/>
              </w:tabs>
              <w:jc w:val="both"/>
              <w:rPr/>
            </w:pPr>
            <w:r>
              <w:rPr>
                <w:rFonts w:eastAsia="Calibri" w:cs="Arial" w:ascii="Arial" w:hAnsi="Arial"/>
                <w:color w:val="000000"/>
                <w:sz w:val="20"/>
                <w:szCs w:val="20"/>
              </w:rPr>
              <w:t>- Descrever ações de projetos nos 3 departamentos (Chefias).</w:t>
            </w:r>
          </w:p>
          <w:p>
            <w:pPr>
              <w:pStyle w:val="Standard"/>
              <w:widowControl w:val="false"/>
              <w:tabs>
                <w:tab w:val="left" w:pos="720" w:leader="none"/>
              </w:tabs>
              <w:jc w:val="both"/>
              <w:rPr/>
            </w:pPr>
            <w:r>
              <w:rPr>
                <w:rFonts w:eastAsia="Calibri" w:cs="Arial" w:ascii="Arial" w:hAnsi="Arial"/>
                <w:color w:val="000000"/>
                <w:sz w:val="20"/>
                <w:szCs w:val="20"/>
              </w:rPr>
              <w:t>- Apoio do GAP para elaboração dos projetos internacionais;</w:t>
            </w:r>
          </w:p>
        </w:tc>
        <w:tc>
          <w:tcPr>
            <w:tcW w:w="2645" w:type="dxa"/>
            <w:tcBorders/>
            <w:shd w:color="auto" w:fill="auto" w:val="clear"/>
          </w:tcPr>
          <w:p>
            <w:pPr>
              <w:pStyle w:val="Standard"/>
              <w:widowControl w:val="false"/>
              <w:tabs>
                <w:tab w:val="left" w:pos="720" w:leader="none"/>
              </w:tabs>
              <w:jc w:val="both"/>
              <w:rPr/>
            </w:pPr>
            <w:r>
              <w:rPr>
                <w:rFonts w:eastAsia="Calibri" w:cs="Arial" w:ascii="Arial" w:hAnsi="Arial"/>
                <w:color w:val="000000"/>
                <w:sz w:val="20"/>
                <w:szCs w:val="20"/>
              </w:rPr>
              <w:t>- Número de ações efetivadas dos projetos.</w:t>
            </w:r>
          </w:p>
          <w:p>
            <w:pPr>
              <w:pStyle w:val="Standard"/>
              <w:widowControl w:val="false"/>
              <w:tabs>
                <w:tab w:val="left" w:pos="720" w:leader="none"/>
              </w:tabs>
              <w:jc w:val="both"/>
              <w:rPr/>
            </w:pPr>
            <w:r>
              <w:rPr>
                <w:rFonts w:eastAsia="Calibri" w:cs="Arial" w:ascii="Arial" w:hAnsi="Arial"/>
                <w:color w:val="000000"/>
                <w:sz w:val="20"/>
                <w:szCs w:val="20"/>
              </w:rPr>
              <w:t>- Número de projetos submetidos no período.</w:t>
            </w:r>
          </w:p>
        </w:tc>
      </w:tr>
      <w:tr>
        <w:trPr/>
        <w:tc>
          <w:tcPr>
            <w:tcW w:w="2661" w:type="dxa"/>
            <w:tcBorders/>
            <w:shd w:color="auto" w:fill="auto" w:val="clear"/>
          </w:tcPr>
          <w:p>
            <w:pPr>
              <w:pStyle w:val="Standard"/>
              <w:widowControl w:val="false"/>
              <w:tabs>
                <w:tab w:val="left" w:pos="720" w:leader="none"/>
              </w:tabs>
              <w:spacing w:lineRule="auto" w:line="24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3) Buscar o estabelecimento de convênios de ensino, pesquisa e extensão a partir da participação em eventos internacionais, publicações, bancas, entre outros.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 xml:space="preserve">. </w:t>
            </w:r>
          </w:p>
        </w:tc>
        <w:tc>
          <w:tcPr>
            <w:tcW w:w="2628" w:type="dxa"/>
            <w:tcBorders/>
            <w:shd w:color="auto" w:fill="auto" w:val="clear"/>
          </w:tcPr>
          <w:p>
            <w:pPr>
              <w:pStyle w:val="Standard"/>
              <w:widowControl w:val="false"/>
              <w:tabs>
                <w:tab w:val="left" w:pos="720" w:leader="none"/>
              </w:tabs>
              <w:jc w:val="both"/>
              <w:rPr/>
            </w:pPr>
            <w:r>
              <w:rPr>
                <w:rFonts w:eastAsia="Calibri" w:cs="Arial" w:ascii="Arial" w:hAnsi="Arial"/>
                <w:color w:val="000000"/>
                <w:sz w:val="20"/>
                <w:szCs w:val="20"/>
              </w:rPr>
              <w:t>- “GAP no exterior”: levantamento e disponibilizar na página do cefd as ações já realizadas.</w:t>
            </w:r>
          </w:p>
          <w:p>
            <w:pPr>
              <w:pStyle w:val="Standard"/>
              <w:widowControl w:val="false"/>
              <w:tabs>
                <w:tab w:val="left" w:pos="720" w:leader="none"/>
              </w:tabs>
              <w:jc w:val="both"/>
              <w:rPr/>
            </w:pPr>
            <w:r>
              <w:rPr>
                <w:rFonts w:eastAsia="Calibri" w:cs="Arial" w:ascii="Arial" w:hAnsi="Arial"/>
                <w:color w:val="000000"/>
                <w:sz w:val="20"/>
                <w:szCs w:val="20"/>
              </w:rPr>
              <w:t xml:space="preserve">- lançar/ </w:t>
            </w:r>
            <w:r>
              <w:rPr>
                <w:rFonts w:eastAsia="Calibri" w:cs="Arial" w:ascii="Arial" w:hAnsi="Arial"/>
                <w:color w:val="00000A"/>
                <w:sz w:val="20"/>
                <w:szCs w:val="20"/>
              </w:rPr>
              <w:t>divulgar</w:t>
            </w:r>
            <w:r>
              <w:rPr>
                <w:rFonts w:eastAsia="Calibri" w:cs="Arial" w:ascii="Arial" w:hAnsi="Arial"/>
                <w:color w:val="000000"/>
                <w:sz w:val="20"/>
                <w:szCs w:val="20"/>
              </w:rPr>
              <w:t xml:space="preserve"> editais que contemplem convênios e parcerias internacionais.</w:t>
            </w:r>
          </w:p>
          <w:p>
            <w:pPr>
              <w:pStyle w:val="Standard"/>
              <w:widowControl w:val="false"/>
              <w:tabs>
                <w:tab w:val="left" w:pos="720" w:leader="none"/>
              </w:tabs>
              <w:jc w:val="both"/>
              <w:rPr/>
            </w:pPr>
            <w:r>
              <w:rPr>
                <w:rFonts w:eastAsia="Calibri" w:cs="Arial" w:ascii="Arial" w:hAnsi="Arial"/>
                <w:color w:val="000000"/>
                <w:sz w:val="20"/>
                <w:szCs w:val="20"/>
              </w:rPr>
              <w:t>- Criação de editais do CEFD para auxílio financeiro para publicações internacionais (tradução e taxa de publicação)</w:t>
            </w:r>
          </w:p>
        </w:tc>
        <w:tc>
          <w:tcPr>
            <w:tcW w:w="2645" w:type="dxa"/>
            <w:tcBorders/>
            <w:shd w:color="auto" w:fill="auto" w:val="clear"/>
          </w:tcPr>
          <w:p>
            <w:pPr>
              <w:pStyle w:val="Standard"/>
              <w:widowControl w:val="false"/>
              <w:tabs>
                <w:tab w:val="left" w:pos="720" w:leader="none"/>
              </w:tabs>
              <w:jc w:val="both"/>
              <w:rPr/>
            </w:pPr>
            <w:r>
              <w:rPr>
                <w:rFonts w:eastAsia="Calibri" w:cs="Arial" w:ascii="Arial" w:hAnsi="Arial"/>
                <w:color w:val="000000"/>
                <w:sz w:val="20"/>
                <w:szCs w:val="20"/>
              </w:rPr>
              <w:t>- Número de ações realizadas pelos docentes.</w:t>
            </w:r>
          </w:p>
          <w:p>
            <w:pPr>
              <w:pStyle w:val="Standard"/>
              <w:widowControl w:val="false"/>
              <w:tabs>
                <w:tab w:val="left" w:pos="720" w:leader="none"/>
              </w:tabs>
              <w:jc w:val="both"/>
              <w:rPr/>
            </w:pPr>
            <w:r>
              <w:rPr>
                <w:rFonts w:eastAsia="Calibri" w:cs="Arial" w:ascii="Arial" w:hAnsi="Arial"/>
                <w:color w:val="000000"/>
                <w:sz w:val="20"/>
                <w:szCs w:val="20"/>
              </w:rPr>
              <w:t>- Número de artigos em periódicos internacionais publicados.</w:t>
            </w:r>
          </w:p>
        </w:tc>
      </w:tr>
      <w:tr>
        <w:trPr/>
        <w:tc>
          <w:tcPr>
            <w:tcW w:w="2661" w:type="dxa"/>
            <w:tcBorders/>
            <w:shd w:color="auto" w:fill="auto" w:val="clear"/>
          </w:tcPr>
          <w:p>
            <w:pPr>
              <w:pStyle w:val="Standard"/>
              <w:widowControl w:val="false"/>
              <w:tabs>
                <w:tab w:val="left" w:pos="720" w:leader="none"/>
              </w:tabs>
              <w:jc w:val="both"/>
              <w:rPr/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4) </w:t>
            </w:r>
            <w:r>
              <w:rPr>
                <w:rFonts w:eastAsia="Times New Roman" w:cs="Arial" w:ascii="Arial" w:hAnsi="Arial"/>
                <w:color w:val="222222"/>
                <w:sz w:val="20"/>
                <w:szCs w:val="20"/>
                <w:lang w:eastAsia="pt-BR"/>
              </w:rPr>
              <w:t>Realizar disciplinas e cursos de pequena duração com professores visitantes de universidades dos Estados Unidos, Canadá, Japão, Portugal e Espanha.</w:t>
            </w:r>
          </w:p>
        </w:tc>
        <w:tc>
          <w:tcPr>
            <w:tcW w:w="2628" w:type="dxa"/>
            <w:tcBorders/>
            <w:shd w:color="auto" w:fill="auto" w:val="clear"/>
          </w:tcPr>
          <w:p>
            <w:pPr>
              <w:pStyle w:val="Standard"/>
              <w:widowControl w:val="false"/>
              <w:tabs>
                <w:tab w:val="left" w:pos="720" w:leader="none"/>
              </w:tabs>
              <w:jc w:val="both"/>
              <w:rPr/>
            </w:pPr>
            <w:r>
              <w:rPr>
                <w:rFonts w:eastAsia="Calibri" w:cs="Arial" w:ascii="Arial" w:hAnsi="Arial"/>
                <w:color w:val="000000"/>
                <w:sz w:val="20"/>
                <w:szCs w:val="20"/>
              </w:rPr>
              <w:t>- Levantamento de disciplinas afins com os países citados (graduação e pós-graduação).</w:t>
            </w:r>
          </w:p>
          <w:p>
            <w:pPr>
              <w:pStyle w:val="Standard"/>
              <w:widowControl w:val="false"/>
              <w:tabs>
                <w:tab w:val="left" w:pos="720" w:leader="none"/>
              </w:tabs>
              <w:jc w:val="both"/>
              <w:rPr/>
            </w:pPr>
            <w:r>
              <w:rPr>
                <w:rFonts w:eastAsia="Calibri" w:cs="Arial" w:ascii="Arial" w:hAnsi="Arial"/>
                <w:color w:val="000000"/>
                <w:sz w:val="20"/>
                <w:szCs w:val="20"/>
              </w:rPr>
              <w:t>- Oferecer cursos com professores visitantes.</w:t>
            </w:r>
          </w:p>
          <w:p>
            <w:pPr>
              <w:pStyle w:val="Normal"/>
              <w:rPr/>
            </w:pPr>
            <w:r>
              <w:rPr>
                <w:rFonts w:cs="Arial" w:ascii="Arial" w:hAnsi="Arial"/>
                <w:sz w:val="20"/>
                <w:szCs w:val="20"/>
              </w:rPr>
              <w:t xml:space="preserve">- Promoção de cursos de inglês instrumental e conversação na graduação e pós-graduação através da utilização de PRAE e monitoria. </w:t>
            </w:r>
          </w:p>
          <w:p>
            <w:pPr>
              <w:pStyle w:val="Standard"/>
              <w:widowControl w:val="false"/>
              <w:tabs>
                <w:tab w:val="left" w:pos="720" w:leader="none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2645" w:type="dxa"/>
            <w:tcBorders/>
            <w:shd w:color="auto" w:fill="auto" w:val="clear"/>
          </w:tcPr>
          <w:p>
            <w:pPr>
              <w:pStyle w:val="Standard"/>
              <w:widowControl w:val="false"/>
              <w:tabs>
                <w:tab w:val="left" w:pos="720" w:leader="none"/>
              </w:tabs>
              <w:jc w:val="both"/>
              <w:rPr/>
            </w:pPr>
            <w:r>
              <w:rPr>
                <w:rFonts w:eastAsia="Calibri" w:cs="Arial" w:ascii="Arial" w:hAnsi="Arial"/>
                <w:color w:val="000000"/>
                <w:sz w:val="20"/>
                <w:szCs w:val="20"/>
              </w:rPr>
              <w:t>- Número de ações e disciplinas envolvidas nas 3 áreas do CEFD.</w:t>
            </w:r>
          </w:p>
          <w:p>
            <w:pPr>
              <w:pStyle w:val="Standard"/>
              <w:widowControl w:val="false"/>
              <w:tabs>
                <w:tab w:val="left" w:pos="720" w:leader="none"/>
              </w:tabs>
              <w:jc w:val="both"/>
              <w:rPr>
                <w:rFonts w:ascii="Arial" w:hAnsi="Arial" w:eastAsia="Calibri" w:cs="Arial"/>
                <w:color w:val="000000"/>
                <w:sz w:val="20"/>
                <w:szCs w:val="20"/>
              </w:rPr>
            </w:pPr>
            <w:r>
              <w:rPr>
                <w:rFonts w:eastAsia="Calibri" w:cs="Arial" w:ascii="Arial" w:hAnsi="Arial"/>
                <w:color w:val="000000"/>
                <w:sz w:val="20"/>
                <w:szCs w:val="20"/>
              </w:rPr>
            </w:r>
          </w:p>
          <w:p>
            <w:pPr>
              <w:pStyle w:val="Standard"/>
              <w:widowControl w:val="false"/>
              <w:tabs>
                <w:tab w:val="left" w:pos="720" w:leader="none"/>
              </w:tabs>
              <w:jc w:val="both"/>
              <w:rPr>
                <w:rFonts w:ascii="Arial" w:hAnsi="Arial" w:eastAsia="Calibri" w:cs="Arial"/>
                <w:color w:val="000000"/>
                <w:sz w:val="20"/>
                <w:szCs w:val="20"/>
              </w:rPr>
            </w:pPr>
            <w:r>
              <w:rPr>
                <w:rFonts w:eastAsia="Calibri" w:cs="Arial" w:ascii="Arial" w:hAnsi="Arial"/>
                <w:color w:val="000000"/>
                <w:sz w:val="20"/>
                <w:szCs w:val="20"/>
              </w:rPr>
            </w:r>
          </w:p>
          <w:p>
            <w:pPr>
              <w:pStyle w:val="Standard"/>
              <w:widowControl w:val="false"/>
              <w:tabs>
                <w:tab w:val="left" w:pos="720" w:leader="none"/>
              </w:tabs>
              <w:jc w:val="both"/>
              <w:rPr/>
            </w:pPr>
            <w:r>
              <w:rPr>
                <w:rFonts w:eastAsia="Calibri" w:cs="Arial" w:ascii="Arial" w:hAnsi="Arial"/>
                <w:color w:val="000000"/>
                <w:sz w:val="20"/>
                <w:szCs w:val="20"/>
              </w:rPr>
              <w:t>- Número de cursos realizados em parceria com professores visitantes dos países citados.</w:t>
            </w:r>
          </w:p>
        </w:tc>
      </w:tr>
      <w:tr>
        <w:trPr/>
        <w:tc>
          <w:tcPr>
            <w:tcW w:w="2661" w:type="dxa"/>
            <w:tcBorders/>
            <w:shd w:color="auto" w:fill="auto" w:val="clear"/>
          </w:tcPr>
          <w:p>
            <w:pPr>
              <w:pStyle w:val="Standard"/>
              <w:widowControl w:val="false"/>
              <w:tabs>
                <w:tab w:val="left" w:pos="720" w:leader="none"/>
              </w:tabs>
              <w:jc w:val="both"/>
              <w:rPr/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5)</w:t>
            </w:r>
            <w:r>
              <w:rPr>
                <w:rFonts w:eastAsia="Times New Roman" w:cs="Arial" w:ascii="Arial" w:hAnsi="Arial"/>
                <w:sz w:val="20"/>
                <w:szCs w:val="20"/>
                <w:lang w:eastAsia="pt-BR"/>
              </w:rPr>
              <w:t>Buscar colaborações em pesquisas com instituições estrangeiras.</w:t>
            </w:r>
          </w:p>
          <w:p>
            <w:pPr>
              <w:pStyle w:val="Standard"/>
              <w:widowControl w:val="false"/>
              <w:tabs>
                <w:tab w:val="left" w:pos="720" w:leader="none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2628" w:type="dxa"/>
            <w:tcBorders/>
            <w:shd w:color="auto" w:fill="auto" w:val="clear"/>
          </w:tcPr>
          <w:p>
            <w:pPr>
              <w:pStyle w:val="Standard"/>
              <w:widowControl w:val="false"/>
              <w:tabs>
                <w:tab w:val="left" w:pos="720" w:leader="none"/>
              </w:tabs>
              <w:jc w:val="both"/>
              <w:rPr/>
            </w:pPr>
            <w:r>
              <w:rPr>
                <w:rFonts w:eastAsia="Calibri" w:cs="Arial" w:ascii="Arial" w:hAnsi="Arial"/>
                <w:color w:val="000000"/>
                <w:sz w:val="20"/>
                <w:szCs w:val="20"/>
              </w:rPr>
              <w:t>- Abertura/</w:t>
            </w:r>
            <w:r>
              <w:rPr>
                <w:rFonts w:eastAsia="Calibri" w:cs="Arial" w:ascii="Arial" w:hAnsi="Arial"/>
                <w:color w:val="00000A"/>
                <w:sz w:val="20"/>
                <w:szCs w:val="20"/>
              </w:rPr>
              <w:t xml:space="preserve"> divulgação </w:t>
            </w:r>
            <w:r>
              <w:rPr>
                <w:rFonts w:eastAsia="Calibri" w:cs="Arial" w:ascii="Arial" w:hAnsi="Arial"/>
                <w:color w:val="000000"/>
                <w:sz w:val="20"/>
                <w:szCs w:val="20"/>
              </w:rPr>
              <w:t>de editais específicos para pesquisas com colaboração de instituição estrangeira financiada pelo CEFD.</w:t>
            </w:r>
          </w:p>
        </w:tc>
        <w:tc>
          <w:tcPr>
            <w:tcW w:w="2645" w:type="dxa"/>
            <w:tcBorders/>
            <w:shd w:color="auto" w:fill="auto" w:val="clear"/>
          </w:tcPr>
          <w:p>
            <w:pPr>
              <w:pStyle w:val="Standard"/>
              <w:widowControl w:val="false"/>
              <w:tabs>
                <w:tab w:val="left" w:pos="720" w:leader="none"/>
              </w:tabs>
              <w:jc w:val="both"/>
              <w:rPr/>
            </w:pPr>
            <w:r>
              <w:rPr>
                <w:rFonts w:eastAsia="Calibri" w:cs="Arial" w:ascii="Arial" w:hAnsi="Arial"/>
                <w:color w:val="000000"/>
                <w:sz w:val="20"/>
                <w:szCs w:val="20"/>
              </w:rPr>
              <w:t>- Número de editais criados.</w:t>
            </w:r>
          </w:p>
          <w:p>
            <w:pPr>
              <w:pStyle w:val="Standard"/>
              <w:widowControl w:val="false"/>
              <w:tabs>
                <w:tab w:val="left" w:pos="720" w:leader="none"/>
              </w:tabs>
              <w:jc w:val="both"/>
              <w:rPr/>
            </w:pPr>
            <w:r>
              <w:rPr>
                <w:rFonts w:eastAsia="Calibri" w:cs="Arial" w:ascii="Arial" w:hAnsi="Arial"/>
                <w:color w:val="000000"/>
                <w:sz w:val="20"/>
                <w:szCs w:val="20"/>
              </w:rPr>
              <w:t>- Número de professores envolvidos.</w:t>
            </w:r>
          </w:p>
          <w:p>
            <w:pPr>
              <w:pStyle w:val="Standard"/>
              <w:widowControl w:val="false"/>
              <w:tabs>
                <w:tab w:val="left" w:pos="720" w:leader="none"/>
              </w:tabs>
              <w:jc w:val="both"/>
              <w:rPr/>
            </w:pPr>
            <w:r>
              <w:rPr>
                <w:rFonts w:eastAsia="Calibri" w:cs="Arial" w:ascii="Arial" w:hAnsi="Arial"/>
                <w:color w:val="000000"/>
                <w:sz w:val="20"/>
                <w:szCs w:val="20"/>
              </w:rPr>
              <w:t>- Número de trabalhos publicados.</w:t>
            </w:r>
          </w:p>
        </w:tc>
      </w:tr>
    </w:tbl>
    <w:p>
      <w:pPr>
        <w:pStyle w:val="Standard"/>
        <w:widowControl w:val="false"/>
        <w:tabs>
          <w:tab w:val="left" w:pos="720" w:leader="none"/>
        </w:tabs>
        <w:ind w:left="786" w:hang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Standard"/>
        <w:widowControl w:val="false"/>
        <w:tabs>
          <w:tab w:val="left" w:pos="720" w:leader="none"/>
        </w:tabs>
        <w:spacing w:lineRule="auto" w:line="360" w:before="0" w:after="160"/>
        <w:ind w:left="786" w:hang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Standard"/>
        <w:widowControl w:val="false"/>
        <w:tabs>
          <w:tab w:val="left" w:pos="720" w:leader="none"/>
        </w:tabs>
        <w:spacing w:lineRule="auto" w:line="360" w:before="0" w:after="160"/>
        <w:ind w:left="786" w:hanging="0"/>
        <w:jc w:val="both"/>
        <w:rPr/>
      </w:pPr>
      <w:r>
        <w:rPr>
          <w:rFonts w:eastAsia="Times New Roman" w:cs="Arial" w:ascii="Arial" w:hAnsi="Arial"/>
          <w:b/>
          <w:lang w:eastAsia="pt-BR"/>
        </w:rPr>
        <w:t>Educação inovadora e Transformadora com Excelência acadêmica (D2)</w:t>
      </w:r>
    </w:p>
    <w:tbl>
      <w:tblPr>
        <w:tblStyle w:val="Tabelacomgrade"/>
        <w:tblW w:w="7934" w:type="dxa"/>
        <w:jc w:val="left"/>
        <w:tblInd w:w="770" w:type="dxa"/>
        <w:tblBorders/>
        <w:tblCellMar>
          <w:top w:w="0" w:type="dxa"/>
          <w:left w:w="9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15"/>
        <w:gridCol w:w="2530"/>
        <w:gridCol w:w="2789"/>
      </w:tblGrid>
      <w:tr>
        <w:trPr/>
        <w:tc>
          <w:tcPr>
            <w:tcW w:w="2615" w:type="dxa"/>
            <w:tcBorders/>
            <w:shd w:color="auto" w:fill="auto" w:val="clear"/>
          </w:tcPr>
          <w:p>
            <w:pPr>
              <w:pStyle w:val="Standard"/>
              <w:widowControl w:val="false"/>
              <w:tabs>
                <w:tab w:val="left" w:pos="720" w:leader="none"/>
              </w:tabs>
              <w:spacing w:lineRule="auto" w:line="360"/>
              <w:jc w:val="both"/>
              <w:rPr/>
            </w:pPr>
            <w:r>
              <w:rPr>
                <w:rFonts w:eastAsia="Calibri" w:cs="Arial" w:ascii="Arial" w:hAnsi="Arial"/>
                <w:b/>
                <w:sz w:val="20"/>
                <w:szCs w:val="20"/>
              </w:rPr>
              <w:t>OBJETIVOS</w:t>
            </w:r>
          </w:p>
        </w:tc>
        <w:tc>
          <w:tcPr>
            <w:tcW w:w="2530" w:type="dxa"/>
            <w:tcBorders/>
            <w:shd w:color="auto" w:fill="auto" w:val="clear"/>
          </w:tcPr>
          <w:p>
            <w:pPr>
              <w:pStyle w:val="Standard"/>
              <w:widowControl w:val="false"/>
              <w:tabs>
                <w:tab w:val="left" w:pos="720" w:leader="none"/>
              </w:tabs>
              <w:spacing w:lineRule="auto" w:line="360"/>
              <w:jc w:val="both"/>
              <w:rPr/>
            </w:pPr>
            <w:r>
              <w:rPr>
                <w:rFonts w:eastAsia="Calibri" w:cs="Arial" w:ascii="Arial" w:hAnsi="Arial"/>
                <w:b/>
                <w:color w:val="000000"/>
                <w:sz w:val="20"/>
                <w:szCs w:val="20"/>
              </w:rPr>
              <w:t>AÇÕES</w:t>
            </w:r>
          </w:p>
        </w:tc>
        <w:tc>
          <w:tcPr>
            <w:tcW w:w="2789" w:type="dxa"/>
            <w:tcBorders/>
            <w:shd w:color="auto" w:fill="auto" w:val="clear"/>
          </w:tcPr>
          <w:p>
            <w:pPr>
              <w:pStyle w:val="Standard"/>
              <w:widowControl w:val="false"/>
              <w:tabs>
                <w:tab w:val="left" w:pos="720" w:leader="none"/>
              </w:tabs>
              <w:spacing w:lineRule="auto" w:line="360"/>
              <w:jc w:val="both"/>
              <w:rPr/>
            </w:pPr>
            <w:r>
              <w:rPr>
                <w:rFonts w:eastAsia="Calibri" w:cs="Arial" w:ascii="Arial" w:hAnsi="Arial"/>
                <w:b/>
                <w:color w:val="000000"/>
                <w:sz w:val="20"/>
                <w:szCs w:val="20"/>
              </w:rPr>
              <w:t>INDICADORES</w:t>
            </w:r>
          </w:p>
        </w:tc>
      </w:tr>
      <w:tr>
        <w:trPr/>
        <w:tc>
          <w:tcPr>
            <w:tcW w:w="2615" w:type="dxa"/>
            <w:tcBorders/>
            <w:shd w:color="auto" w:fill="auto" w:val="clear"/>
          </w:tcPr>
          <w:p>
            <w:pPr>
              <w:pStyle w:val="Standard"/>
              <w:widowControl w:val="false"/>
              <w:tabs>
                <w:tab w:val="left" w:pos="720" w:leader="none"/>
              </w:tabs>
              <w:jc w:val="both"/>
              <w:rPr/>
            </w:pPr>
            <w:r>
              <w:rPr>
                <w:rFonts w:eastAsia="Calibri" w:cs="Arial" w:ascii="Arial" w:hAnsi="Arial"/>
                <w:sz w:val="20"/>
                <w:szCs w:val="20"/>
              </w:rPr>
              <w:t>1)Estimular parcerias com outros Cursos e Centros a fim de propiciar ações compartilhadas e interdisciplinares.</w:t>
            </w:r>
          </w:p>
          <w:p>
            <w:pPr>
              <w:pStyle w:val="Standard"/>
              <w:widowControl w:val="false"/>
              <w:tabs>
                <w:tab w:val="left" w:pos="720" w:leader="none"/>
              </w:tabs>
              <w:jc w:val="both"/>
              <w:rPr>
                <w:rFonts w:ascii="Arial" w:hAnsi="Arial" w:eastAsia="Calibri" w:cs="Arial"/>
                <w:color w:val="000000"/>
                <w:sz w:val="20"/>
                <w:szCs w:val="20"/>
              </w:rPr>
            </w:pPr>
            <w:r>
              <w:rPr>
                <w:rFonts w:eastAsia="Calibri"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2530" w:type="dxa"/>
            <w:tcBorders/>
            <w:shd w:color="auto" w:fill="auto" w:val="clear"/>
          </w:tcPr>
          <w:p>
            <w:pPr>
              <w:pStyle w:val="Standard"/>
              <w:widowControl w:val="false"/>
              <w:tabs>
                <w:tab w:val="left" w:pos="720" w:leader="none"/>
              </w:tabs>
              <w:jc w:val="both"/>
              <w:rPr/>
            </w:pPr>
            <w:r>
              <w:rPr>
                <w:rFonts w:eastAsia="Calibri" w:cs="Arial" w:ascii="Arial" w:hAnsi="Arial"/>
                <w:color w:val="FF0000"/>
                <w:sz w:val="20"/>
                <w:szCs w:val="20"/>
              </w:rPr>
              <w:t xml:space="preserve">- </w:t>
            </w:r>
            <w:r>
              <w:rPr>
                <w:rFonts w:cs="Arial" w:ascii="Arial" w:hAnsi="Arial"/>
                <w:color w:val="000000"/>
                <w:sz w:val="20"/>
                <w:szCs w:val="20"/>
              </w:rPr>
              <w:t>Implementar seminários de estágios com centros de áreas relacionadas aos cursos do CEFD (CE, CAL, etc.);</w:t>
            </w:r>
          </w:p>
          <w:p>
            <w:pPr>
              <w:pStyle w:val="Standard"/>
              <w:widowControl w:val="false"/>
              <w:tabs>
                <w:tab w:val="left" w:pos="720" w:leader="none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  <w:p>
            <w:pPr>
              <w:pStyle w:val="Standard"/>
              <w:widowControl w:val="false"/>
              <w:tabs>
                <w:tab w:val="left" w:pos="720" w:leader="none"/>
              </w:tabs>
              <w:jc w:val="both"/>
              <w:rPr/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- Organizar eventos relacionados à saúde e qualidade de vida da população com o Centro de Ciências da Saúde;</w:t>
            </w:r>
          </w:p>
          <w:p>
            <w:pPr>
              <w:pStyle w:val="Standard"/>
              <w:widowControl w:val="false"/>
              <w:tabs>
                <w:tab w:val="left" w:pos="720" w:leader="none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  <w:p>
            <w:pPr>
              <w:pStyle w:val="Standard"/>
              <w:widowControl w:val="false"/>
              <w:tabs>
                <w:tab w:val="left" w:pos="720" w:leader="none"/>
              </w:tabs>
              <w:jc w:val="both"/>
              <w:rPr/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- Promover oficinas de qualificação acadêmica em parceria com as bibliotecas de outros centros da UFSM.</w:t>
            </w:r>
          </w:p>
        </w:tc>
        <w:tc>
          <w:tcPr>
            <w:tcW w:w="2789" w:type="dxa"/>
            <w:tcBorders/>
            <w:shd w:color="auto" w:fill="auto" w:val="clear"/>
          </w:tcPr>
          <w:p>
            <w:pPr>
              <w:pStyle w:val="Standard"/>
              <w:widowControl w:val="false"/>
              <w:tabs>
                <w:tab w:val="left" w:pos="720" w:leader="none"/>
              </w:tabs>
              <w:jc w:val="both"/>
              <w:rPr/>
            </w:pPr>
            <w:r>
              <w:rPr>
                <w:rFonts w:eastAsia="Calibri" w:cs="Arial" w:ascii="Arial" w:hAnsi="Arial"/>
                <w:color w:val="000000"/>
                <w:sz w:val="20"/>
                <w:szCs w:val="20"/>
              </w:rPr>
              <w:t>- Número de participantes.</w:t>
            </w:r>
          </w:p>
          <w:p>
            <w:pPr>
              <w:pStyle w:val="Standard"/>
              <w:widowControl w:val="false"/>
              <w:tabs>
                <w:tab w:val="left" w:pos="720" w:leader="none"/>
              </w:tabs>
              <w:jc w:val="both"/>
              <w:rPr/>
            </w:pPr>
            <w:r>
              <w:rPr>
                <w:rFonts w:eastAsia="Calibri" w:cs="Arial" w:ascii="Arial" w:hAnsi="Arial"/>
                <w:color w:val="000000"/>
                <w:sz w:val="20"/>
                <w:szCs w:val="20"/>
              </w:rPr>
              <w:t>- Ficha de avaliação.</w:t>
            </w:r>
          </w:p>
        </w:tc>
      </w:tr>
      <w:tr>
        <w:trPr/>
        <w:tc>
          <w:tcPr>
            <w:tcW w:w="2615" w:type="dxa"/>
            <w:tcBorders/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textAlignment w:val="baseline"/>
              <w:rPr/>
            </w:pPr>
            <w:r>
              <w:rPr>
                <w:rFonts w:eastAsia="NSimSun" w:cs="Arial" w:ascii="Arial" w:hAnsi="Arial"/>
                <w:bCs/>
                <w:sz w:val="20"/>
                <w:szCs w:val="20"/>
                <w:lang w:eastAsia="zh-CN" w:bidi="hi-IN"/>
              </w:rPr>
              <w:t>2 Oferecer uma infraestrutura de apoio qualificada e de acordo com as necessidades de cada área de conhecimento.</w:t>
            </w:r>
          </w:p>
          <w:p>
            <w:pPr>
              <w:pStyle w:val="Standard"/>
              <w:widowControl w:val="false"/>
              <w:tabs>
                <w:tab w:val="left" w:pos="720" w:leader="none"/>
              </w:tabs>
              <w:spacing w:lineRule="auto" w:line="2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2530" w:type="dxa"/>
            <w:tcBorders/>
            <w:shd w:color="auto" w:fill="auto" w:val="clear"/>
          </w:tcPr>
          <w:p>
            <w:pPr>
              <w:pStyle w:val="Standard"/>
              <w:widowControl w:val="false"/>
              <w:tabs>
                <w:tab w:val="left" w:pos="720" w:leader="none"/>
              </w:tabs>
              <w:jc w:val="both"/>
              <w:rPr/>
            </w:pPr>
            <w:r>
              <w:rPr>
                <w:rFonts w:eastAsia="Calibri" w:cs="Arial" w:ascii="Arial" w:hAnsi="Arial"/>
                <w:color w:val="FF0000"/>
                <w:sz w:val="20"/>
                <w:szCs w:val="20"/>
              </w:rPr>
              <w:t xml:space="preserve">- </w:t>
            </w:r>
            <w:r>
              <w:rPr>
                <w:rFonts w:cs="Arial" w:ascii="Arial" w:hAnsi="Arial"/>
                <w:color w:val="000000"/>
                <w:sz w:val="20"/>
                <w:szCs w:val="20"/>
              </w:rPr>
              <w:t>Realizar periodicamente pesquisa de satisfação das unidades e subunidades do Centro de Educação Física e Desportos;</w:t>
            </w:r>
          </w:p>
          <w:p>
            <w:pPr>
              <w:pStyle w:val="Standard"/>
              <w:widowControl w:val="false"/>
              <w:tabs>
                <w:tab w:val="left" w:pos="720" w:leader="none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  <w:p>
            <w:pPr>
              <w:pStyle w:val="Standard"/>
              <w:widowControl w:val="false"/>
              <w:tabs>
                <w:tab w:val="left" w:pos="720" w:leader="none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  <w:p>
            <w:pPr>
              <w:pStyle w:val="Standard"/>
              <w:widowControl w:val="false"/>
              <w:tabs>
                <w:tab w:val="left" w:pos="720" w:leader="none"/>
              </w:tabs>
              <w:jc w:val="both"/>
              <w:rPr/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- Modernização de laboratórios através da participação em editais específicos.</w:t>
            </w:r>
          </w:p>
        </w:tc>
        <w:tc>
          <w:tcPr>
            <w:tcW w:w="2789" w:type="dxa"/>
            <w:tcBorders/>
            <w:shd w:color="auto" w:fill="auto" w:val="clear"/>
          </w:tcPr>
          <w:p>
            <w:pPr>
              <w:pStyle w:val="Standard"/>
              <w:widowControl w:val="false"/>
              <w:tabs>
                <w:tab w:val="left" w:pos="720" w:leader="none"/>
              </w:tabs>
              <w:jc w:val="both"/>
              <w:rPr/>
            </w:pPr>
            <w:r>
              <w:rPr>
                <w:rFonts w:eastAsia="Calibri" w:cs="Arial" w:ascii="Arial" w:hAnsi="Arial"/>
                <w:color w:val="FF0000"/>
                <w:sz w:val="20"/>
                <w:szCs w:val="20"/>
              </w:rPr>
              <w:t xml:space="preserve">- </w:t>
            </w:r>
            <w:r>
              <w:rPr>
                <w:rFonts w:cs="Arial" w:ascii="Arial" w:hAnsi="Arial"/>
                <w:color w:val="000000"/>
                <w:sz w:val="20"/>
                <w:szCs w:val="20"/>
              </w:rPr>
              <w:t>Resultado da pesquisa de satisfação e feedback;</w:t>
            </w:r>
          </w:p>
          <w:p>
            <w:pPr>
              <w:pStyle w:val="Standard"/>
              <w:widowControl w:val="false"/>
              <w:tabs>
                <w:tab w:val="left" w:pos="720" w:leader="none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  <w:p>
            <w:pPr>
              <w:pStyle w:val="Standard"/>
              <w:widowControl w:val="false"/>
              <w:tabs>
                <w:tab w:val="left" w:pos="720" w:leader="none"/>
              </w:tabs>
              <w:jc w:val="both"/>
              <w:rPr/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- Número de ações efetivadas e resultados, apresentado em relatório de gestão;</w:t>
            </w:r>
          </w:p>
          <w:p>
            <w:pPr>
              <w:pStyle w:val="Standard"/>
              <w:widowControl w:val="false"/>
              <w:tabs>
                <w:tab w:val="left" w:pos="720" w:leader="none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  <w:p>
            <w:pPr>
              <w:pStyle w:val="Standard"/>
              <w:widowControl w:val="false"/>
              <w:tabs>
                <w:tab w:val="left" w:pos="720" w:leader="none"/>
              </w:tabs>
              <w:jc w:val="both"/>
              <w:rPr/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- Número de aquisição e uso de equipamentos no laboratório, apresentado em relatório.</w:t>
            </w:r>
          </w:p>
        </w:tc>
      </w:tr>
      <w:tr>
        <w:trPr/>
        <w:tc>
          <w:tcPr>
            <w:tcW w:w="261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 xml:space="preserve">3 Estimular e aprimorar as parcerias entre os Cursos de Graduação e Pós-graduação do CEFD. </w:t>
            </w:r>
          </w:p>
          <w:p>
            <w:pPr>
              <w:pStyle w:val="Standard"/>
              <w:widowControl w:val="false"/>
              <w:tabs>
                <w:tab w:val="left" w:pos="720" w:leader="none"/>
              </w:tabs>
              <w:spacing w:lineRule="auto" w:line="2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2530" w:type="dxa"/>
            <w:tcBorders/>
            <w:shd w:color="auto" w:fill="auto" w:val="clear"/>
          </w:tcPr>
          <w:p>
            <w:pPr>
              <w:pStyle w:val="Standard"/>
              <w:widowControl w:val="false"/>
              <w:tabs>
                <w:tab w:val="left" w:pos="720" w:leader="none"/>
              </w:tabs>
              <w:jc w:val="both"/>
              <w:rPr/>
            </w:pPr>
            <w:r>
              <w:rPr>
                <w:rFonts w:eastAsia="Calibri" w:cs="Arial" w:ascii="Arial" w:hAnsi="Arial"/>
                <w:color w:val="000000"/>
                <w:sz w:val="20"/>
                <w:szCs w:val="20"/>
              </w:rPr>
              <w:t>-</w:t>
            </w:r>
            <w:r>
              <w:rPr>
                <w:rFonts w:eastAsia="Calibri" w:cs="Arial" w:ascii="Arial" w:hAnsi="Arial"/>
                <w:color w:val="FF0000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Incentivar a Co orientação de TCC por alunos/as da Especialização e/ou Mestrandos; </w:t>
            </w:r>
          </w:p>
          <w:p>
            <w:pPr>
              <w:pStyle w:val="Standard"/>
              <w:widowControl w:val="false"/>
              <w:tabs>
                <w:tab w:val="left" w:pos="720" w:leader="none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  <w:p>
            <w:pPr>
              <w:pStyle w:val="Standard"/>
              <w:widowControl w:val="false"/>
              <w:tabs>
                <w:tab w:val="left" w:pos="720" w:leader="none"/>
              </w:tabs>
              <w:jc w:val="both"/>
              <w:rPr/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- Promover, através de reuniões entre os coordenadores do CEFD, um calendário programático de rodas de conversa sobre a produção dos grupos de pesquisa do centro.</w:t>
            </w:r>
          </w:p>
          <w:p>
            <w:pPr>
              <w:pStyle w:val="Standard"/>
              <w:widowControl w:val="false"/>
              <w:tabs>
                <w:tab w:val="left" w:pos="720" w:leader="none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  <w:p>
            <w:pPr>
              <w:pStyle w:val="Standard"/>
              <w:widowControl w:val="false"/>
              <w:tabs>
                <w:tab w:val="left" w:pos="720" w:leader="none"/>
              </w:tabs>
              <w:jc w:val="both"/>
              <w:rPr/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- Organizar a jornada acadêmica do CEFD periodicamente;</w:t>
            </w:r>
          </w:p>
          <w:p>
            <w:pPr>
              <w:pStyle w:val="Standard"/>
              <w:widowControl w:val="false"/>
              <w:tabs>
                <w:tab w:val="left" w:pos="720" w:leader="none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  <w:p>
            <w:pPr>
              <w:pStyle w:val="Standard"/>
              <w:widowControl w:val="false"/>
              <w:tabs>
                <w:tab w:val="left" w:pos="720" w:leader="none"/>
              </w:tabs>
              <w:jc w:val="both"/>
              <w:rPr/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- Organizar e realizar eventos/palestras/oficinas onde alunos de graduação e pós possam participar de maneira conjunta.</w:t>
            </w:r>
          </w:p>
          <w:p>
            <w:pPr>
              <w:pStyle w:val="Standard"/>
              <w:widowControl w:val="false"/>
              <w:tabs>
                <w:tab w:val="left" w:pos="720" w:leader="none"/>
              </w:tabs>
              <w:jc w:val="both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</w:r>
          </w:p>
          <w:p>
            <w:pPr>
              <w:pStyle w:val="Standard"/>
              <w:widowControl w:val="false"/>
              <w:tabs>
                <w:tab w:val="left" w:pos="720" w:leader="none"/>
              </w:tabs>
              <w:jc w:val="both"/>
              <w:rPr>
                <w:rFonts w:ascii="Arial" w:hAnsi="Arial" w:eastAsia="Calibri" w:cs="Arial"/>
                <w:color w:val="000000"/>
                <w:sz w:val="20"/>
                <w:szCs w:val="20"/>
              </w:rPr>
            </w:pPr>
            <w:r>
              <w:rPr>
                <w:rFonts w:eastAsia="Calibri"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2789" w:type="dxa"/>
            <w:tcBorders/>
            <w:shd w:color="auto" w:fill="auto" w:val="clear"/>
          </w:tcPr>
          <w:p>
            <w:pPr>
              <w:pStyle w:val="Standard"/>
              <w:widowControl w:val="false"/>
              <w:tabs>
                <w:tab w:val="left" w:pos="720" w:leader="none"/>
              </w:tabs>
              <w:jc w:val="both"/>
              <w:rPr/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- Número de trabalhos co orientados;</w:t>
            </w:r>
          </w:p>
          <w:p>
            <w:pPr>
              <w:pStyle w:val="Standard"/>
              <w:widowControl w:val="false"/>
              <w:tabs>
                <w:tab w:val="left" w:pos="720" w:leader="none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  <w:p>
            <w:pPr>
              <w:pStyle w:val="Standard"/>
              <w:widowControl w:val="false"/>
              <w:tabs>
                <w:tab w:val="left" w:pos="720" w:leader="none"/>
              </w:tabs>
              <w:jc w:val="both"/>
              <w:rPr/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- Número de trabalhos apresentados e/ou submetidos/pulicados;</w:t>
            </w:r>
          </w:p>
          <w:p>
            <w:pPr>
              <w:pStyle w:val="Standard"/>
              <w:widowControl w:val="false"/>
              <w:tabs>
                <w:tab w:val="left" w:pos="720" w:leader="none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  <w:p>
            <w:pPr>
              <w:pStyle w:val="Standard"/>
              <w:widowControl w:val="false"/>
              <w:tabs>
                <w:tab w:val="left" w:pos="720" w:leader="none"/>
              </w:tabs>
              <w:jc w:val="both"/>
              <w:rPr/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-Número de participantes dos eventos promovidos pelo CEFD;</w:t>
            </w:r>
          </w:p>
          <w:p>
            <w:pPr>
              <w:pStyle w:val="Standard"/>
              <w:widowControl w:val="false"/>
              <w:tabs>
                <w:tab w:val="left" w:pos="720" w:leader="none"/>
              </w:tabs>
              <w:jc w:val="both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261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4 Estimular ações vinculadas a Temáticas Transversais e interdisciplinares como Meio Ambiente, Relações Étnico-raciais, Direitos Humanos, relações de Gênero, Sexualidade, Geração, Pessoas com deficiência, população em situação de vulnerabilidade social e pessoas com privação de liberdade.</w:t>
            </w:r>
          </w:p>
          <w:p>
            <w:pPr>
              <w:pStyle w:val="Standard"/>
              <w:widowControl w:val="false"/>
              <w:tabs>
                <w:tab w:val="left" w:pos="720" w:leader="none"/>
              </w:tabs>
              <w:spacing w:lineRule="auto" w:line="2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2530" w:type="dxa"/>
            <w:tcBorders/>
            <w:shd w:color="auto" w:fill="auto" w:val="clear"/>
          </w:tcPr>
          <w:p>
            <w:pPr>
              <w:pStyle w:val="Standard"/>
              <w:widowControl w:val="false"/>
              <w:tabs>
                <w:tab w:val="left" w:pos="720" w:leader="none"/>
              </w:tabs>
              <w:jc w:val="both"/>
              <w:rPr/>
            </w:pPr>
            <w:r>
              <w:rPr>
                <w:rFonts w:eastAsia="Calibri" w:cs="Arial" w:ascii="Arial" w:hAnsi="Arial"/>
                <w:color w:val="000000"/>
                <w:sz w:val="20"/>
                <w:szCs w:val="20"/>
              </w:rPr>
              <w:t xml:space="preserve">- </w:t>
            </w:r>
            <w:r>
              <w:rPr>
                <w:rFonts w:cs="Arial" w:ascii="Arial" w:hAnsi="Arial"/>
                <w:color w:val="000000"/>
                <w:sz w:val="20"/>
                <w:szCs w:val="20"/>
              </w:rPr>
              <w:t>Desenvolver estratégias para incluir as temáticas citadas no PPC da graduação;</w:t>
            </w:r>
          </w:p>
          <w:p>
            <w:pPr>
              <w:pStyle w:val="Standard"/>
              <w:widowControl w:val="false"/>
              <w:tabs>
                <w:tab w:val="left" w:pos="720" w:leader="none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  <w:p>
            <w:pPr>
              <w:pStyle w:val="Standard"/>
              <w:widowControl w:val="false"/>
              <w:tabs>
                <w:tab w:val="left" w:pos="720" w:leader="none"/>
              </w:tabs>
              <w:jc w:val="both"/>
              <w:rPr/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- Criar ou participar de projetos dos mais variados níveis (extensão, pesquisa etc.) nas temáticas transversais;</w:t>
            </w:r>
          </w:p>
          <w:p>
            <w:pPr>
              <w:pStyle w:val="Standard"/>
              <w:widowControl w:val="false"/>
              <w:tabs>
                <w:tab w:val="left" w:pos="720" w:leader="none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  <w:p>
            <w:pPr>
              <w:pStyle w:val="Standard"/>
              <w:widowControl w:val="false"/>
              <w:tabs>
                <w:tab w:val="left" w:pos="720" w:leader="none"/>
              </w:tabs>
              <w:jc w:val="both"/>
              <w:rPr/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- Promover palestras sobre os temas transversais com especialistas.</w:t>
            </w:r>
          </w:p>
          <w:p>
            <w:pPr>
              <w:pStyle w:val="Standard"/>
              <w:widowControl w:val="false"/>
              <w:tabs>
                <w:tab w:val="left" w:pos="720" w:leader="none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  <w:p>
            <w:pPr>
              <w:pStyle w:val="Standard"/>
              <w:widowControl w:val="false"/>
              <w:tabs>
                <w:tab w:val="left" w:pos="720" w:leader="none"/>
              </w:tabs>
              <w:jc w:val="both"/>
              <w:rPr/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- Estimular a produção de trabalhos em temas transversais.</w:t>
            </w:r>
          </w:p>
        </w:tc>
        <w:tc>
          <w:tcPr>
            <w:tcW w:w="2789" w:type="dxa"/>
            <w:tcBorders/>
            <w:shd w:color="auto" w:fill="auto" w:val="clear"/>
          </w:tcPr>
          <w:p>
            <w:pPr>
              <w:pStyle w:val="Standard"/>
              <w:widowControl w:val="false"/>
              <w:tabs>
                <w:tab w:val="left" w:pos="720" w:leader="none"/>
              </w:tabs>
              <w:jc w:val="both"/>
              <w:rPr/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- Número de ações realizadas;</w:t>
            </w:r>
          </w:p>
          <w:p>
            <w:pPr>
              <w:pStyle w:val="Standard"/>
              <w:widowControl w:val="false"/>
              <w:tabs>
                <w:tab w:val="left" w:pos="720" w:leader="none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  <w:p>
            <w:pPr>
              <w:pStyle w:val="Standard"/>
              <w:widowControl w:val="false"/>
              <w:tabs>
                <w:tab w:val="left" w:pos="720" w:leader="none"/>
              </w:tabs>
              <w:jc w:val="both"/>
              <w:rPr/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- Número de citações dos temas transversais em reuniões do NDE;</w:t>
            </w:r>
          </w:p>
          <w:p>
            <w:pPr>
              <w:pStyle w:val="Standard"/>
              <w:widowControl w:val="false"/>
              <w:tabs>
                <w:tab w:val="left" w:pos="720" w:leader="none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  <w:p>
            <w:pPr>
              <w:pStyle w:val="Standard"/>
              <w:widowControl w:val="false"/>
              <w:tabs>
                <w:tab w:val="left" w:pos="720" w:leader="none"/>
              </w:tabs>
              <w:jc w:val="both"/>
              <w:rPr/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- Número de palestras promovidas pelo CEFD</w:t>
            </w:r>
          </w:p>
          <w:p>
            <w:pPr>
              <w:pStyle w:val="Standard"/>
              <w:widowControl w:val="false"/>
              <w:tabs>
                <w:tab w:val="left" w:pos="720" w:leader="none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  <w:p>
            <w:pPr>
              <w:pStyle w:val="Standard"/>
              <w:widowControl w:val="false"/>
              <w:tabs>
                <w:tab w:val="left" w:pos="720" w:leader="none"/>
              </w:tabs>
              <w:jc w:val="both"/>
              <w:rPr/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- Número de Docentes envolvidos em disciplinas relacionadas aos temas transversais;</w:t>
            </w:r>
          </w:p>
          <w:p>
            <w:pPr>
              <w:pStyle w:val="Standard"/>
              <w:widowControl w:val="false"/>
              <w:tabs>
                <w:tab w:val="left" w:pos="720" w:leader="none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  <w:p>
            <w:pPr>
              <w:pStyle w:val="Standard"/>
              <w:widowControl w:val="false"/>
              <w:tabs>
                <w:tab w:val="left" w:pos="720" w:leader="none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  <w:p>
            <w:pPr>
              <w:pStyle w:val="Standard"/>
              <w:widowControl w:val="false"/>
              <w:tabs>
                <w:tab w:val="left" w:pos="720" w:leader="none"/>
              </w:tabs>
              <w:jc w:val="both"/>
              <w:rPr/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- Número de trabalhos sobre temas transversais apresentados em eventos;</w:t>
            </w:r>
          </w:p>
          <w:p>
            <w:pPr>
              <w:pStyle w:val="Standard"/>
              <w:widowControl w:val="false"/>
              <w:tabs>
                <w:tab w:val="left" w:pos="720" w:leader="none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  <w:p>
            <w:pPr>
              <w:pStyle w:val="Standard"/>
              <w:widowControl w:val="false"/>
              <w:tabs>
                <w:tab w:val="left" w:pos="720" w:leader="none"/>
              </w:tabs>
              <w:jc w:val="both"/>
              <w:rPr/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- Número de projetos executados nas áreas transversais.</w:t>
            </w:r>
          </w:p>
          <w:p>
            <w:pPr>
              <w:pStyle w:val="Standard"/>
              <w:widowControl w:val="false"/>
              <w:tabs>
                <w:tab w:val="left" w:pos="720" w:leader="none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261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5 Aproximar a comunidade do CEFD às ações esportivas, artísticas e culturais de projetos em desenvolvimento pelo CEFD.</w:t>
            </w:r>
          </w:p>
          <w:p>
            <w:pPr>
              <w:pStyle w:val="Standard"/>
              <w:widowControl w:val="false"/>
              <w:tabs>
                <w:tab w:val="left" w:pos="720" w:leader="none"/>
              </w:tabs>
              <w:spacing w:lineRule="auto" w:line="240"/>
              <w:ind w:left="1080" w:hang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2530" w:type="dxa"/>
            <w:tcBorders/>
            <w:shd w:color="auto" w:fill="auto" w:val="clear"/>
          </w:tcPr>
          <w:p>
            <w:pPr>
              <w:pStyle w:val="Standard"/>
              <w:widowControl w:val="false"/>
              <w:tabs>
                <w:tab w:val="left" w:pos="720" w:leader="none"/>
              </w:tabs>
              <w:jc w:val="both"/>
              <w:rPr/>
            </w:pPr>
            <w:r>
              <w:rPr>
                <w:rFonts w:eastAsia="Calibri" w:cs="Arial" w:ascii="Arial" w:hAnsi="Arial"/>
                <w:color w:val="000000"/>
                <w:sz w:val="20"/>
                <w:szCs w:val="20"/>
              </w:rPr>
              <w:t xml:space="preserve">- </w:t>
            </w:r>
            <w:r>
              <w:rPr>
                <w:rFonts w:cs="Arial" w:ascii="Arial" w:hAnsi="Arial"/>
                <w:color w:val="000000"/>
                <w:sz w:val="20"/>
                <w:szCs w:val="20"/>
              </w:rPr>
              <w:t>Aumentar os meios de divulgação das ações dos projetos;</w:t>
            </w:r>
          </w:p>
          <w:p>
            <w:pPr>
              <w:pStyle w:val="Standard"/>
              <w:widowControl w:val="false"/>
              <w:tabs>
                <w:tab w:val="left" w:pos="720" w:leader="none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  <w:p>
            <w:pPr>
              <w:pStyle w:val="Standard"/>
              <w:widowControl w:val="false"/>
              <w:tabs>
                <w:tab w:val="left" w:pos="720" w:leader="none"/>
              </w:tabs>
              <w:jc w:val="both"/>
              <w:rPr/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- Desenvolver iniciativas que promovam o acolhimento de alunos, servidores e comunidade periodicamente.</w:t>
            </w:r>
          </w:p>
          <w:p>
            <w:pPr>
              <w:pStyle w:val="Standard"/>
              <w:widowControl w:val="false"/>
              <w:tabs>
                <w:tab w:val="left" w:pos="720" w:leader="none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2789" w:type="dxa"/>
            <w:tcBorders/>
            <w:shd w:color="auto" w:fill="auto" w:val="clear"/>
          </w:tcPr>
          <w:p>
            <w:pPr>
              <w:pStyle w:val="Standard"/>
              <w:widowControl w:val="false"/>
              <w:tabs>
                <w:tab w:val="left" w:pos="720" w:leader="none"/>
              </w:tabs>
              <w:jc w:val="both"/>
              <w:rPr/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- Número de divulgações pelo NDI.</w:t>
            </w:r>
          </w:p>
          <w:p>
            <w:pPr>
              <w:pStyle w:val="Standard"/>
              <w:widowControl w:val="false"/>
              <w:tabs>
                <w:tab w:val="left" w:pos="720" w:leader="none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  <w:p>
            <w:pPr>
              <w:pStyle w:val="Standard"/>
              <w:widowControl w:val="false"/>
              <w:tabs>
                <w:tab w:val="left" w:pos="720" w:leader="none"/>
              </w:tabs>
              <w:jc w:val="both"/>
              <w:rPr/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- Número de Professores e alunos envolvidos.</w:t>
            </w:r>
          </w:p>
          <w:p>
            <w:pPr>
              <w:pStyle w:val="Standard"/>
              <w:widowControl w:val="false"/>
              <w:tabs>
                <w:tab w:val="left" w:pos="720" w:leader="none"/>
              </w:tabs>
              <w:jc w:val="both"/>
              <w:rPr>
                <w:rFonts w:ascii="Arial" w:hAnsi="Arial" w:eastAsia="Calibri" w:cs="Arial"/>
                <w:color w:val="000000"/>
                <w:sz w:val="20"/>
                <w:szCs w:val="20"/>
              </w:rPr>
            </w:pPr>
            <w:r>
              <w:rPr>
                <w:rFonts w:eastAsia="Calibri" w:cs="Arial" w:ascii="Arial" w:hAnsi="Arial"/>
                <w:color w:val="000000"/>
                <w:sz w:val="20"/>
                <w:szCs w:val="20"/>
              </w:rPr>
            </w:r>
          </w:p>
        </w:tc>
      </w:tr>
    </w:tbl>
    <w:p>
      <w:pPr>
        <w:pStyle w:val="Standard"/>
        <w:widowControl w:val="false"/>
        <w:tabs>
          <w:tab w:val="left" w:pos="720" w:leader="none"/>
        </w:tabs>
        <w:spacing w:lineRule="auto" w:line="360" w:before="0" w:after="160"/>
        <w:ind w:left="786" w:hang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Standard"/>
        <w:widowControl w:val="false"/>
        <w:tabs>
          <w:tab w:val="left" w:pos="720" w:leader="none"/>
        </w:tabs>
        <w:spacing w:lineRule="auto" w:line="360" w:before="0" w:after="160"/>
        <w:ind w:left="786" w:hang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Standard"/>
        <w:widowControl w:val="false"/>
        <w:tabs>
          <w:tab w:val="left" w:pos="720" w:leader="none"/>
        </w:tabs>
        <w:spacing w:lineRule="auto" w:line="360" w:before="0" w:after="160"/>
        <w:ind w:left="786" w:hang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Standard"/>
        <w:widowControl w:val="false"/>
        <w:tabs>
          <w:tab w:val="left" w:pos="720" w:leader="none"/>
        </w:tabs>
        <w:spacing w:lineRule="auto" w:line="360" w:before="0" w:after="160"/>
        <w:ind w:left="786" w:hang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Standard"/>
        <w:widowControl w:val="false"/>
        <w:tabs>
          <w:tab w:val="left" w:pos="720" w:leader="none"/>
        </w:tabs>
        <w:spacing w:lineRule="auto" w:line="360" w:before="0" w:after="160"/>
        <w:jc w:val="both"/>
        <w:rPr/>
      </w:pPr>
      <w:r>
        <w:rPr>
          <w:rFonts w:cs="Arial" w:ascii="Arial" w:hAnsi="Arial"/>
          <w:b/>
          <w:color w:val="000000"/>
        </w:rPr>
        <w:t xml:space="preserve">         </w:t>
      </w:r>
      <w:r>
        <w:rPr>
          <w:rFonts w:cs="Arial" w:ascii="Arial" w:hAnsi="Arial"/>
          <w:b/>
          <w:color w:val="000000"/>
        </w:rPr>
        <w:t>Inclusão Social (D 3)</w:t>
      </w:r>
    </w:p>
    <w:tbl>
      <w:tblPr>
        <w:tblStyle w:val="Tabelacomgrade"/>
        <w:tblW w:w="8645" w:type="dxa"/>
        <w:jc w:val="left"/>
        <w:tblInd w:w="-15" w:type="dxa"/>
        <w:tblBorders/>
        <w:tblCellMar>
          <w:top w:w="0" w:type="dxa"/>
          <w:left w:w="9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81"/>
        <w:gridCol w:w="2882"/>
        <w:gridCol w:w="2882"/>
      </w:tblGrid>
      <w:tr>
        <w:trPr/>
        <w:tc>
          <w:tcPr>
            <w:tcW w:w="2881" w:type="dxa"/>
            <w:tcBorders/>
            <w:shd w:color="auto" w:fill="auto" w:val="clear"/>
          </w:tcPr>
          <w:p>
            <w:pPr>
              <w:pStyle w:val="Standard"/>
              <w:widowControl w:val="false"/>
              <w:tabs>
                <w:tab w:val="left" w:pos="720" w:leader="none"/>
              </w:tabs>
              <w:spacing w:lineRule="auto" w:line="360"/>
              <w:jc w:val="both"/>
              <w:rPr/>
            </w:pPr>
            <w:r>
              <w:rPr>
                <w:rFonts w:eastAsia="Calibri" w:cs="Arial" w:ascii="Arial" w:hAnsi="Arial"/>
                <w:b/>
                <w:color w:val="000000"/>
                <w:sz w:val="20"/>
                <w:szCs w:val="20"/>
              </w:rPr>
              <w:tab/>
              <w:t>OBJETIVOS</w:t>
            </w:r>
          </w:p>
        </w:tc>
        <w:tc>
          <w:tcPr>
            <w:tcW w:w="2882" w:type="dxa"/>
            <w:tcBorders/>
            <w:shd w:color="auto" w:fill="auto" w:val="clear"/>
          </w:tcPr>
          <w:p>
            <w:pPr>
              <w:pStyle w:val="Standard"/>
              <w:widowControl w:val="false"/>
              <w:tabs>
                <w:tab w:val="left" w:pos="720" w:leader="none"/>
              </w:tabs>
              <w:spacing w:lineRule="auto" w:line="360"/>
              <w:jc w:val="both"/>
              <w:rPr/>
            </w:pPr>
            <w:r>
              <w:rPr>
                <w:rFonts w:eastAsia="Calibri" w:cs="Arial" w:ascii="Arial" w:hAnsi="Arial"/>
                <w:b/>
                <w:color w:val="000000"/>
                <w:sz w:val="20"/>
                <w:szCs w:val="20"/>
              </w:rPr>
              <w:t>AÇÕES</w:t>
            </w:r>
          </w:p>
        </w:tc>
        <w:tc>
          <w:tcPr>
            <w:tcW w:w="2882" w:type="dxa"/>
            <w:tcBorders/>
            <w:shd w:color="auto" w:fill="auto" w:val="clear"/>
          </w:tcPr>
          <w:p>
            <w:pPr>
              <w:pStyle w:val="Standard"/>
              <w:widowControl w:val="false"/>
              <w:tabs>
                <w:tab w:val="left" w:pos="720" w:leader="none"/>
              </w:tabs>
              <w:spacing w:lineRule="auto" w:line="360"/>
              <w:jc w:val="both"/>
              <w:rPr/>
            </w:pPr>
            <w:r>
              <w:rPr>
                <w:rFonts w:eastAsia="Calibri" w:cs="Arial" w:ascii="Arial" w:hAnsi="Arial"/>
                <w:b/>
                <w:color w:val="000000"/>
                <w:sz w:val="20"/>
                <w:szCs w:val="20"/>
              </w:rPr>
              <w:t>INDICADORES</w:t>
            </w:r>
          </w:p>
        </w:tc>
      </w:tr>
      <w:tr>
        <w:trPr/>
        <w:tc>
          <w:tcPr>
            <w:tcW w:w="2881" w:type="dxa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1 Capacitar Docentes, discentes e técnicos administrativos nas áreas de Pessoas com deficiência (PCD), Envelhecimento, Gênero, Sexualidade, lei 2003 (afro e índio).</w:t>
            </w:r>
          </w:p>
          <w:p>
            <w:pPr>
              <w:pStyle w:val="Standard"/>
              <w:widowControl w:val="false"/>
              <w:tabs>
                <w:tab w:val="left" w:pos="720" w:leader="none"/>
              </w:tabs>
              <w:spacing w:lineRule="auto" w:line="360"/>
              <w:ind w:left="720" w:hanging="0"/>
              <w:jc w:val="both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</w:r>
          </w:p>
        </w:tc>
        <w:tc>
          <w:tcPr>
            <w:tcW w:w="2882" w:type="dxa"/>
            <w:tcBorders/>
            <w:shd w:color="auto" w:fill="auto" w:val="clear"/>
          </w:tcPr>
          <w:p>
            <w:pPr>
              <w:pStyle w:val="Standard"/>
              <w:widowControl w:val="false"/>
              <w:tabs>
                <w:tab w:val="left" w:pos="720" w:leader="none"/>
              </w:tabs>
              <w:jc w:val="both"/>
              <w:rPr/>
            </w:pPr>
            <w:r>
              <w:rPr>
                <w:rFonts w:eastAsia="Calibri" w:cs="Arial" w:ascii="Arial" w:hAnsi="Arial"/>
                <w:b/>
                <w:color w:val="000000"/>
                <w:sz w:val="20"/>
                <w:szCs w:val="20"/>
              </w:rPr>
              <w:t xml:space="preserve">- </w:t>
            </w:r>
            <w:r>
              <w:rPr>
                <w:rFonts w:eastAsia="Calibri" w:cs="Arial" w:ascii="Arial" w:hAnsi="Arial"/>
                <w:color w:val="00000A"/>
                <w:sz w:val="20"/>
                <w:szCs w:val="20"/>
              </w:rPr>
              <w:t>Realização de Minicursos de Formação Continuada e palestras sobre inclusão social aos docentes, discentes e TAE’s do CEFD;</w:t>
            </w:r>
          </w:p>
          <w:p>
            <w:pPr>
              <w:pStyle w:val="Standard"/>
              <w:widowControl w:val="false"/>
              <w:tabs>
                <w:tab w:val="left" w:pos="720" w:leader="none"/>
              </w:tabs>
              <w:jc w:val="both"/>
              <w:rPr>
                <w:rFonts w:ascii="Arial" w:hAnsi="Arial" w:eastAsia="Calibri" w:cs="Arial"/>
                <w:color w:val="00000A"/>
                <w:sz w:val="20"/>
                <w:szCs w:val="20"/>
              </w:rPr>
            </w:pPr>
            <w:r>
              <w:rPr>
                <w:rFonts w:eastAsia="Calibri" w:cs="Arial" w:ascii="Arial" w:hAnsi="Arial"/>
                <w:color w:val="00000A"/>
                <w:sz w:val="20"/>
                <w:szCs w:val="20"/>
              </w:rPr>
            </w:r>
          </w:p>
          <w:p>
            <w:pPr>
              <w:pStyle w:val="Standard"/>
              <w:widowControl w:val="false"/>
              <w:tabs>
                <w:tab w:val="left" w:pos="720" w:leader="none"/>
              </w:tabs>
              <w:jc w:val="both"/>
              <w:rPr/>
            </w:pPr>
            <w:r>
              <w:rPr>
                <w:rFonts w:eastAsia="Calibri" w:cs="Arial" w:ascii="Arial" w:hAnsi="Arial"/>
                <w:color w:val="00000A"/>
                <w:sz w:val="20"/>
                <w:szCs w:val="20"/>
              </w:rPr>
              <w:t xml:space="preserve"> </w:t>
            </w:r>
            <w:r>
              <w:rPr>
                <w:rFonts w:eastAsia="Calibri" w:cs="Arial" w:ascii="Arial" w:hAnsi="Arial"/>
                <w:color w:val="00000A"/>
                <w:sz w:val="20"/>
                <w:szCs w:val="20"/>
              </w:rPr>
              <w:t>- Elaboração de ações pelas chefias das unidades;</w:t>
            </w:r>
          </w:p>
          <w:p>
            <w:pPr>
              <w:pStyle w:val="Standard"/>
              <w:widowControl w:val="false"/>
              <w:tabs>
                <w:tab w:val="left" w:pos="720" w:leader="none"/>
              </w:tabs>
              <w:jc w:val="both"/>
              <w:rPr>
                <w:rFonts w:ascii="Arial" w:hAnsi="Arial" w:eastAsia="Calibri" w:cs="Arial"/>
                <w:color w:val="00000A"/>
                <w:sz w:val="20"/>
                <w:szCs w:val="20"/>
              </w:rPr>
            </w:pPr>
            <w:r>
              <w:rPr>
                <w:rFonts w:eastAsia="Calibri" w:cs="Arial" w:ascii="Arial" w:hAnsi="Arial"/>
                <w:color w:val="00000A"/>
                <w:sz w:val="20"/>
                <w:szCs w:val="20"/>
              </w:rPr>
            </w:r>
          </w:p>
          <w:p>
            <w:pPr>
              <w:pStyle w:val="Standard"/>
              <w:widowControl w:val="false"/>
              <w:tabs>
                <w:tab w:val="left" w:pos="720" w:leader="none"/>
              </w:tabs>
              <w:jc w:val="both"/>
              <w:rPr/>
            </w:pPr>
            <w:r>
              <w:rPr>
                <w:rFonts w:eastAsia="Calibri" w:cs="Arial" w:ascii="Arial" w:hAnsi="Arial"/>
                <w:color w:val="00000A"/>
                <w:sz w:val="20"/>
                <w:szCs w:val="20"/>
              </w:rPr>
              <w:t>- Planejamento da semana da inclusão social no CEFD (substitutivo).</w:t>
            </w:r>
          </w:p>
        </w:tc>
        <w:tc>
          <w:tcPr>
            <w:tcW w:w="2882" w:type="dxa"/>
            <w:tcBorders/>
            <w:shd w:color="auto" w:fill="auto" w:val="clear"/>
          </w:tcPr>
          <w:p>
            <w:pPr>
              <w:pStyle w:val="Standard"/>
              <w:widowControl w:val="false"/>
              <w:tabs>
                <w:tab w:val="left" w:pos="720" w:leader="none"/>
              </w:tabs>
              <w:jc w:val="both"/>
              <w:rPr/>
            </w:pPr>
            <w:r>
              <w:rPr>
                <w:rFonts w:eastAsia="Calibri" w:cs="Arial" w:ascii="Arial" w:hAnsi="Arial"/>
                <w:b/>
                <w:color w:val="FF0000"/>
                <w:sz w:val="20"/>
                <w:szCs w:val="20"/>
              </w:rPr>
              <w:t xml:space="preserve">- </w:t>
            </w:r>
            <w:r>
              <w:rPr>
                <w:rFonts w:eastAsia="Calibri" w:cs="Arial" w:ascii="Arial" w:hAnsi="Arial"/>
                <w:color w:val="00000A"/>
                <w:sz w:val="20"/>
                <w:szCs w:val="20"/>
              </w:rPr>
              <w:t>Número de palestras realizadas por ano;</w:t>
            </w:r>
          </w:p>
          <w:p>
            <w:pPr>
              <w:pStyle w:val="Standard"/>
              <w:widowControl w:val="false"/>
              <w:tabs>
                <w:tab w:val="left" w:pos="720" w:leader="none"/>
              </w:tabs>
              <w:jc w:val="both"/>
              <w:rPr>
                <w:rFonts w:ascii="Arial" w:hAnsi="Arial" w:eastAsia="Calibri" w:cs="Arial"/>
                <w:color w:val="00000A"/>
                <w:sz w:val="20"/>
                <w:szCs w:val="20"/>
              </w:rPr>
            </w:pPr>
            <w:r>
              <w:rPr>
                <w:rFonts w:eastAsia="Calibri" w:cs="Arial" w:ascii="Arial" w:hAnsi="Arial"/>
                <w:color w:val="00000A"/>
                <w:sz w:val="20"/>
                <w:szCs w:val="20"/>
              </w:rPr>
            </w:r>
          </w:p>
          <w:p>
            <w:pPr>
              <w:pStyle w:val="Standard"/>
              <w:widowControl w:val="false"/>
              <w:tabs>
                <w:tab w:val="left" w:pos="720" w:leader="none"/>
              </w:tabs>
              <w:jc w:val="both"/>
              <w:rPr/>
            </w:pPr>
            <w:r>
              <w:rPr>
                <w:rFonts w:eastAsia="Calibri" w:cs="Arial" w:ascii="Arial" w:hAnsi="Arial"/>
                <w:color w:val="00000A"/>
                <w:sz w:val="20"/>
                <w:szCs w:val="20"/>
              </w:rPr>
              <w:t>- Número de minicursos realizados por ano;</w:t>
            </w:r>
          </w:p>
          <w:p>
            <w:pPr>
              <w:pStyle w:val="Standard"/>
              <w:widowControl w:val="false"/>
              <w:tabs>
                <w:tab w:val="left" w:pos="720" w:leader="none"/>
              </w:tabs>
              <w:jc w:val="both"/>
              <w:rPr>
                <w:rFonts w:ascii="Arial" w:hAnsi="Arial" w:eastAsia="Calibri" w:cs="Arial"/>
                <w:color w:val="00000A"/>
                <w:sz w:val="20"/>
                <w:szCs w:val="20"/>
              </w:rPr>
            </w:pPr>
            <w:r>
              <w:rPr>
                <w:rFonts w:eastAsia="Calibri" w:cs="Arial" w:ascii="Arial" w:hAnsi="Arial"/>
                <w:color w:val="00000A"/>
                <w:sz w:val="20"/>
                <w:szCs w:val="20"/>
              </w:rPr>
            </w:r>
          </w:p>
          <w:p>
            <w:pPr>
              <w:pStyle w:val="Standard"/>
              <w:widowControl w:val="false"/>
              <w:tabs>
                <w:tab w:val="left" w:pos="720" w:leader="none"/>
              </w:tabs>
              <w:jc w:val="both"/>
              <w:rPr/>
            </w:pPr>
            <w:r>
              <w:rPr>
                <w:rFonts w:eastAsia="Calibri" w:cs="Arial" w:ascii="Arial" w:hAnsi="Arial"/>
                <w:color w:val="00000A"/>
                <w:sz w:val="20"/>
                <w:szCs w:val="20"/>
              </w:rPr>
              <w:t>- Número de participantes de cada atividade;</w:t>
            </w:r>
          </w:p>
          <w:p>
            <w:pPr>
              <w:pStyle w:val="Standard"/>
              <w:widowControl w:val="false"/>
              <w:tabs>
                <w:tab w:val="left" w:pos="720" w:leader="none"/>
              </w:tabs>
              <w:jc w:val="both"/>
              <w:rPr>
                <w:rFonts w:ascii="Arial" w:hAnsi="Arial" w:eastAsia="Calibri" w:cs="Arial"/>
                <w:color w:val="00000A"/>
                <w:sz w:val="20"/>
                <w:szCs w:val="20"/>
              </w:rPr>
            </w:pPr>
            <w:r>
              <w:rPr>
                <w:rFonts w:eastAsia="Calibri" w:cs="Arial" w:ascii="Arial" w:hAnsi="Arial"/>
                <w:color w:val="00000A"/>
                <w:sz w:val="20"/>
                <w:szCs w:val="20"/>
              </w:rPr>
            </w:r>
          </w:p>
          <w:p>
            <w:pPr>
              <w:pStyle w:val="Standard"/>
              <w:widowControl w:val="false"/>
              <w:tabs>
                <w:tab w:val="left" w:pos="720" w:leader="none"/>
              </w:tabs>
              <w:jc w:val="both"/>
              <w:rPr/>
            </w:pPr>
            <w:r>
              <w:rPr>
                <w:rFonts w:eastAsia="Calibri" w:cs="Arial" w:ascii="Arial" w:hAnsi="Arial"/>
                <w:color w:val="00000A"/>
                <w:sz w:val="20"/>
                <w:szCs w:val="20"/>
              </w:rPr>
              <w:t>- Ficha de autoavaliação do evento.</w:t>
            </w:r>
          </w:p>
        </w:tc>
      </w:tr>
      <w:tr>
        <w:trPr/>
        <w:tc>
          <w:tcPr>
            <w:tcW w:w="2881" w:type="dxa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2Qualificar a infraestrutura de engenharia e logística respeitando as premissas de acessibilidade, respeito ao Meio Ambiente e segurança.</w:t>
            </w:r>
          </w:p>
          <w:p>
            <w:pPr>
              <w:pStyle w:val="Standard"/>
              <w:widowControl w:val="false"/>
              <w:tabs>
                <w:tab w:val="left" w:pos="720" w:leader="none"/>
              </w:tabs>
              <w:spacing w:lineRule="auto" w:line="360"/>
              <w:ind w:left="720" w:hanging="0"/>
              <w:jc w:val="both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</w:r>
          </w:p>
        </w:tc>
        <w:tc>
          <w:tcPr>
            <w:tcW w:w="2882" w:type="dxa"/>
            <w:tcBorders/>
            <w:shd w:color="auto" w:fill="auto" w:val="clear"/>
          </w:tcPr>
          <w:p>
            <w:pPr>
              <w:pStyle w:val="Standard"/>
              <w:widowControl w:val="false"/>
              <w:tabs>
                <w:tab w:val="left" w:pos="720" w:leader="none"/>
              </w:tabs>
              <w:jc w:val="both"/>
              <w:rPr/>
            </w:pPr>
            <w:r>
              <w:rPr>
                <w:rFonts w:eastAsia="Calibri" w:cs="Arial" w:ascii="Arial" w:hAnsi="Arial"/>
                <w:b/>
                <w:color w:val="000000"/>
                <w:sz w:val="20"/>
                <w:szCs w:val="20"/>
              </w:rPr>
              <w:t xml:space="preserve">- </w:t>
            </w:r>
            <w:r>
              <w:rPr>
                <w:rFonts w:eastAsia="Calibri" w:cs="Arial" w:ascii="Arial" w:hAnsi="Arial"/>
                <w:color w:val="000000"/>
                <w:sz w:val="20"/>
                <w:szCs w:val="20"/>
              </w:rPr>
              <w:t>Pleitear junto à PROINFRA e à PROPLAN a construção de um prédio novo que inclua todos os requisitos de acessibilidade, pois a adaptação do atual é muito onerosa;</w:t>
            </w:r>
          </w:p>
          <w:p>
            <w:pPr>
              <w:pStyle w:val="Standard"/>
              <w:widowControl w:val="false"/>
              <w:tabs>
                <w:tab w:val="left" w:pos="720" w:leader="none"/>
              </w:tabs>
              <w:jc w:val="both"/>
              <w:rPr>
                <w:rFonts w:ascii="Arial" w:hAnsi="Arial" w:eastAsia="Calibri" w:cs="Arial"/>
                <w:color w:val="000000"/>
                <w:sz w:val="20"/>
                <w:szCs w:val="20"/>
              </w:rPr>
            </w:pPr>
            <w:r>
              <w:rPr>
                <w:rFonts w:eastAsia="Calibri" w:cs="Arial" w:ascii="Arial" w:hAnsi="Arial"/>
                <w:color w:val="000000"/>
                <w:sz w:val="20"/>
                <w:szCs w:val="20"/>
              </w:rPr>
            </w:r>
          </w:p>
          <w:p>
            <w:pPr>
              <w:pStyle w:val="Standard"/>
              <w:widowControl w:val="false"/>
              <w:tabs>
                <w:tab w:val="left" w:pos="720" w:leader="none"/>
              </w:tabs>
              <w:jc w:val="both"/>
              <w:rPr/>
            </w:pPr>
            <w:r>
              <w:rPr>
                <w:rFonts w:eastAsia="Calibri" w:cs="Arial" w:ascii="Arial" w:hAnsi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Calibri" w:cs="Arial" w:ascii="Arial" w:hAnsi="Arial"/>
                <w:color w:val="000000"/>
                <w:sz w:val="20"/>
                <w:szCs w:val="20"/>
              </w:rPr>
              <w:t>- Realocação de recursos humanos e materiais que sejam de maior utilização e relevância para os alunos para o térreo do prédio atualmente utilizado para as atividade do CEFD;</w:t>
            </w:r>
          </w:p>
          <w:p>
            <w:pPr>
              <w:pStyle w:val="Standard"/>
              <w:widowControl w:val="false"/>
              <w:tabs>
                <w:tab w:val="left" w:pos="720" w:leader="none"/>
              </w:tabs>
              <w:jc w:val="both"/>
              <w:rPr>
                <w:rFonts w:ascii="Arial" w:hAnsi="Arial" w:eastAsia="Calibri" w:cs="Arial"/>
                <w:color w:val="000000"/>
                <w:sz w:val="20"/>
                <w:szCs w:val="20"/>
              </w:rPr>
            </w:pPr>
            <w:r>
              <w:rPr>
                <w:rFonts w:eastAsia="Calibri" w:cs="Arial" w:ascii="Arial" w:hAnsi="Arial"/>
                <w:color w:val="000000"/>
                <w:sz w:val="20"/>
                <w:szCs w:val="20"/>
              </w:rPr>
            </w:r>
          </w:p>
          <w:p>
            <w:pPr>
              <w:pStyle w:val="Standard"/>
              <w:widowControl w:val="false"/>
              <w:tabs>
                <w:tab w:val="left" w:pos="720" w:leader="none"/>
              </w:tabs>
              <w:jc w:val="both"/>
              <w:rPr/>
            </w:pPr>
            <w:r>
              <w:rPr>
                <w:rFonts w:eastAsia="Calibri" w:cs="Arial" w:ascii="Arial" w:hAnsi="Arial"/>
                <w:color w:val="000000"/>
                <w:sz w:val="20"/>
                <w:szCs w:val="20"/>
              </w:rPr>
              <w:t>- Atividades acadêmicas de sensibilização acerca da preservação do meio ambiente;</w:t>
            </w:r>
          </w:p>
          <w:p>
            <w:pPr>
              <w:pStyle w:val="Standard"/>
              <w:widowControl w:val="false"/>
              <w:tabs>
                <w:tab w:val="left" w:pos="720" w:leader="none"/>
              </w:tabs>
              <w:jc w:val="both"/>
              <w:rPr>
                <w:rFonts w:ascii="Arial" w:hAnsi="Arial" w:eastAsia="Calibri" w:cs="Arial"/>
                <w:color w:val="000000"/>
                <w:sz w:val="20"/>
                <w:szCs w:val="20"/>
              </w:rPr>
            </w:pPr>
            <w:r>
              <w:rPr>
                <w:rFonts w:eastAsia="Calibri" w:cs="Arial" w:ascii="Arial" w:hAnsi="Arial"/>
                <w:color w:val="000000"/>
                <w:sz w:val="20"/>
                <w:szCs w:val="20"/>
              </w:rPr>
            </w:r>
          </w:p>
          <w:p>
            <w:pPr>
              <w:pStyle w:val="Standard"/>
              <w:widowControl w:val="false"/>
              <w:tabs>
                <w:tab w:val="left" w:pos="720" w:leader="none"/>
              </w:tabs>
              <w:jc w:val="both"/>
              <w:rPr/>
            </w:pPr>
            <w:r>
              <w:rPr>
                <w:rFonts w:eastAsia="Calibri" w:cs="Arial" w:ascii="Arial" w:hAnsi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Calibri" w:cs="Arial" w:ascii="Arial" w:hAnsi="Arial"/>
                <w:color w:val="000000"/>
                <w:sz w:val="20"/>
                <w:szCs w:val="20"/>
              </w:rPr>
              <w:t>-Campanhas de recolhimento de lixo reciclável e eletrônico;</w:t>
            </w:r>
          </w:p>
          <w:p>
            <w:pPr>
              <w:pStyle w:val="Standard"/>
              <w:widowControl w:val="false"/>
              <w:tabs>
                <w:tab w:val="left" w:pos="720" w:leader="none"/>
              </w:tabs>
              <w:jc w:val="both"/>
              <w:rPr>
                <w:rFonts w:ascii="Arial" w:hAnsi="Arial" w:eastAsia="Calibri" w:cs="Arial"/>
                <w:color w:val="000000"/>
                <w:sz w:val="20"/>
                <w:szCs w:val="20"/>
              </w:rPr>
            </w:pPr>
            <w:r>
              <w:rPr>
                <w:rFonts w:eastAsia="Calibri" w:cs="Arial" w:ascii="Arial" w:hAnsi="Arial"/>
                <w:color w:val="000000"/>
                <w:sz w:val="20"/>
                <w:szCs w:val="20"/>
              </w:rPr>
            </w:r>
          </w:p>
          <w:p>
            <w:pPr>
              <w:pStyle w:val="Standard"/>
              <w:widowControl w:val="false"/>
              <w:tabs>
                <w:tab w:val="left" w:pos="720" w:leader="none"/>
              </w:tabs>
              <w:jc w:val="both"/>
              <w:rPr/>
            </w:pPr>
            <w:r>
              <w:rPr>
                <w:rFonts w:eastAsia="Calibri" w:cs="Arial" w:ascii="Arial" w:hAnsi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Calibri" w:cs="Arial" w:ascii="Arial" w:hAnsi="Arial"/>
                <w:color w:val="000000"/>
                <w:sz w:val="20"/>
                <w:szCs w:val="20"/>
              </w:rPr>
              <w:t>- Realização de oficinas que ensinem os alunos a fazer produtos com o lixo reciclável;</w:t>
            </w:r>
          </w:p>
          <w:p>
            <w:pPr>
              <w:pStyle w:val="Standard"/>
              <w:widowControl w:val="false"/>
              <w:tabs>
                <w:tab w:val="left" w:pos="720" w:leader="none"/>
              </w:tabs>
              <w:jc w:val="both"/>
              <w:rPr>
                <w:rFonts w:ascii="Arial" w:hAnsi="Arial" w:eastAsia="Calibri" w:cs="Arial"/>
                <w:color w:val="000000"/>
                <w:sz w:val="20"/>
                <w:szCs w:val="20"/>
              </w:rPr>
            </w:pPr>
            <w:r>
              <w:rPr>
                <w:rFonts w:eastAsia="Calibri" w:cs="Arial" w:ascii="Arial" w:hAnsi="Arial"/>
                <w:color w:val="000000"/>
                <w:sz w:val="20"/>
                <w:szCs w:val="20"/>
              </w:rPr>
            </w:r>
          </w:p>
          <w:p>
            <w:pPr>
              <w:pStyle w:val="Standard"/>
              <w:widowControl w:val="false"/>
              <w:tabs>
                <w:tab w:val="left" w:pos="720" w:leader="none"/>
              </w:tabs>
              <w:jc w:val="both"/>
              <w:rPr/>
            </w:pPr>
            <w:r>
              <w:rPr>
                <w:rFonts w:eastAsia="Calibri" w:cs="Arial" w:ascii="Arial" w:hAnsi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Calibri" w:cs="Arial" w:ascii="Arial" w:hAnsi="Arial"/>
                <w:color w:val="000000"/>
                <w:sz w:val="20"/>
                <w:szCs w:val="20"/>
              </w:rPr>
              <w:t>- Aumentar o número de câmeras em pontos estratégicos do CEFD.</w:t>
            </w:r>
          </w:p>
        </w:tc>
        <w:tc>
          <w:tcPr>
            <w:tcW w:w="2882" w:type="dxa"/>
            <w:tcBorders/>
            <w:shd w:color="auto" w:fill="auto" w:val="clear"/>
          </w:tcPr>
          <w:p>
            <w:pPr>
              <w:pStyle w:val="Standard"/>
              <w:widowControl w:val="false"/>
              <w:tabs>
                <w:tab w:val="left" w:pos="720" w:leader="none"/>
              </w:tabs>
              <w:jc w:val="both"/>
              <w:rPr/>
            </w:pPr>
            <w:r>
              <w:rPr>
                <w:rFonts w:eastAsia="Calibri" w:cs="Arial" w:ascii="Arial" w:hAnsi="Arial"/>
                <w:b/>
                <w:color w:val="000000"/>
                <w:sz w:val="20"/>
                <w:szCs w:val="20"/>
              </w:rPr>
              <w:t xml:space="preserve">- </w:t>
            </w:r>
            <w:r>
              <w:rPr>
                <w:rFonts w:eastAsia="Calibri" w:cs="Arial" w:ascii="Arial" w:hAnsi="Arial"/>
                <w:color w:val="000000"/>
                <w:sz w:val="20"/>
                <w:szCs w:val="20"/>
              </w:rPr>
              <w:t>Questionário sobre a acessibilidade da infraestrutura do CEFD;</w:t>
            </w:r>
          </w:p>
          <w:p>
            <w:pPr>
              <w:pStyle w:val="Standard"/>
              <w:widowControl w:val="false"/>
              <w:tabs>
                <w:tab w:val="left" w:pos="720" w:leader="none"/>
              </w:tabs>
              <w:jc w:val="both"/>
              <w:rPr>
                <w:rFonts w:ascii="Arial" w:hAnsi="Arial" w:eastAsia="Calibri" w:cs="Arial"/>
                <w:color w:val="000000"/>
                <w:sz w:val="20"/>
                <w:szCs w:val="20"/>
              </w:rPr>
            </w:pPr>
            <w:r>
              <w:rPr>
                <w:rFonts w:eastAsia="Calibri" w:cs="Arial" w:ascii="Arial" w:hAnsi="Arial"/>
                <w:color w:val="000000"/>
                <w:sz w:val="20"/>
                <w:szCs w:val="20"/>
              </w:rPr>
            </w:r>
          </w:p>
          <w:p>
            <w:pPr>
              <w:pStyle w:val="Standard"/>
              <w:widowControl w:val="false"/>
              <w:tabs>
                <w:tab w:val="left" w:pos="720" w:leader="none"/>
              </w:tabs>
              <w:jc w:val="both"/>
              <w:rPr/>
            </w:pPr>
            <w:r>
              <w:rPr>
                <w:rFonts w:eastAsia="Calibri" w:cs="Arial" w:ascii="Arial" w:hAnsi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Calibri" w:cs="Arial" w:ascii="Arial" w:hAnsi="Arial"/>
                <w:color w:val="000000"/>
                <w:sz w:val="20"/>
                <w:szCs w:val="20"/>
              </w:rPr>
              <w:t>- Relatório de ações sobre acessibilidade e meio ambiente desenvolvidas por semestre;</w:t>
            </w:r>
          </w:p>
          <w:p>
            <w:pPr>
              <w:pStyle w:val="Standard"/>
              <w:widowControl w:val="false"/>
              <w:tabs>
                <w:tab w:val="left" w:pos="720" w:leader="none"/>
              </w:tabs>
              <w:jc w:val="both"/>
              <w:rPr>
                <w:rFonts w:ascii="Arial" w:hAnsi="Arial" w:eastAsia="Calibri" w:cs="Arial"/>
                <w:color w:val="000000"/>
                <w:sz w:val="20"/>
                <w:szCs w:val="20"/>
              </w:rPr>
            </w:pPr>
            <w:r>
              <w:rPr>
                <w:rFonts w:eastAsia="Calibri" w:cs="Arial" w:ascii="Arial" w:hAnsi="Arial"/>
                <w:color w:val="000000"/>
                <w:sz w:val="20"/>
                <w:szCs w:val="20"/>
              </w:rPr>
            </w:r>
          </w:p>
          <w:p>
            <w:pPr>
              <w:pStyle w:val="Standard"/>
              <w:widowControl w:val="false"/>
              <w:tabs>
                <w:tab w:val="left" w:pos="720" w:leader="none"/>
              </w:tabs>
              <w:jc w:val="both"/>
              <w:rPr/>
            </w:pPr>
            <w:r>
              <w:rPr>
                <w:rFonts w:eastAsia="Calibri" w:cs="Arial" w:ascii="Arial" w:hAnsi="Arial"/>
                <w:color w:val="000000"/>
                <w:sz w:val="20"/>
                <w:szCs w:val="20"/>
              </w:rPr>
              <w:t>- Número de pessoas participantes de cada campanha;</w:t>
            </w:r>
          </w:p>
          <w:p>
            <w:pPr>
              <w:pStyle w:val="Standard"/>
              <w:widowControl w:val="false"/>
              <w:tabs>
                <w:tab w:val="left" w:pos="720" w:leader="none"/>
              </w:tabs>
              <w:jc w:val="both"/>
              <w:rPr>
                <w:rFonts w:ascii="Arial" w:hAnsi="Arial" w:eastAsia="Calibri" w:cs="Arial"/>
                <w:color w:val="000000"/>
                <w:sz w:val="20"/>
                <w:szCs w:val="20"/>
              </w:rPr>
            </w:pPr>
            <w:r>
              <w:rPr>
                <w:rFonts w:eastAsia="Calibri" w:cs="Arial" w:ascii="Arial" w:hAnsi="Arial"/>
                <w:color w:val="000000"/>
                <w:sz w:val="20"/>
                <w:szCs w:val="20"/>
              </w:rPr>
            </w:r>
          </w:p>
          <w:p>
            <w:pPr>
              <w:pStyle w:val="Standard"/>
              <w:widowControl w:val="false"/>
              <w:tabs>
                <w:tab w:val="left" w:pos="720" w:leader="none"/>
              </w:tabs>
              <w:jc w:val="both"/>
              <w:rPr/>
            </w:pPr>
            <w:r>
              <w:rPr>
                <w:rFonts w:eastAsia="Calibri" w:cs="Arial" w:ascii="Arial" w:hAnsi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Calibri" w:cs="Arial" w:ascii="Arial" w:hAnsi="Arial"/>
                <w:color w:val="000000"/>
                <w:sz w:val="20"/>
                <w:szCs w:val="20"/>
              </w:rPr>
              <w:t>- Quantidade de lixo recolhido por mês;</w:t>
            </w:r>
          </w:p>
          <w:p>
            <w:pPr>
              <w:pStyle w:val="Standard"/>
              <w:widowControl w:val="false"/>
              <w:tabs>
                <w:tab w:val="left" w:pos="720" w:leader="none"/>
              </w:tabs>
              <w:jc w:val="both"/>
              <w:rPr>
                <w:rFonts w:ascii="Arial" w:hAnsi="Arial" w:eastAsia="Calibri" w:cs="Arial"/>
                <w:color w:val="000000"/>
                <w:sz w:val="20"/>
                <w:szCs w:val="20"/>
              </w:rPr>
            </w:pPr>
            <w:r>
              <w:rPr>
                <w:rFonts w:eastAsia="Calibri" w:cs="Arial" w:ascii="Arial" w:hAnsi="Arial"/>
                <w:color w:val="000000"/>
                <w:sz w:val="20"/>
                <w:szCs w:val="20"/>
              </w:rPr>
            </w:r>
          </w:p>
          <w:p>
            <w:pPr>
              <w:pStyle w:val="Standard"/>
              <w:widowControl w:val="false"/>
              <w:tabs>
                <w:tab w:val="left" w:pos="720" w:leader="none"/>
              </w:tabs>
              <w:spacing w:lineRule="auto" w:line="360"/>
              <w:jc w:val="both"/>
              <w:rPr/>
            </w:pPr>
            <w:r>
              <w:rPr>
                <w:rFonts w:eastAsia="Calibri" w:cs="Arial" w:ascii="Arial" w:hAnsi="Arial"/>
                <w:color w:val="000000"/>
                <w:sz w:val="20"/>
                <w:szCs w:val="20"/>
              </w:rPr>
              <w:t xml:space="preserve">- Aplicação de questionários a respeito da segurança no CEFD. </w:t>
            </w:r>
          </w:p>
        </w:tc>
      </w:tr>
      <w:tr>
        <w:trPr/>
        <w:tc>
          <w:tcPr>
            <w:tcW w:w="2881" w:type="dxa"/>
            <w:tcBorders/>
            <w:shd w:color="auto"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rFonts w:cs="Arial" w:ascii="Arial" w:hAnsi="Arial"/>
                <w:color w:val="1D2228"/>
                <w:sz w:val="20"/>
                <w:szCs w:val="20"/>
              </w:rPr>
              <w:t>3 Buscar oportunidades junto aos diversos órgãos e/ou instituições que apoiem a extensão universitária no Rio Grande do Sul e no Brasil.</w:t>
            </w:r>
          </w:p>
          <w:p>
            <w:pPr>
              <w:pStyle w:val="Standard"/>
              <w:widowControl w:val="false"/>
              <w:tabs>
                <w:tab w:val="left" w:pos="720" w:leader="none"/>
              </w:tabs>
              <w:spacing w:lineRule="auto" w:line="360"/>
              <w:jc w:val="both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</w:r>
          </w:p>
        </w:tc>
        <w:tc>
          <w:tcPr>
            <w:tcW w:w="2882" w:type="dxa"/>
            <w:tcBorders/>
            <w:shd w:color="auto" w:fill="auto" w:val="clear"/>
          </w:tcPr>
          <w:p>
            <w:pPr>
              <w:pStyle w:val="Standard"/>
              <w:widowControl w:val="false"/>
              <w:tabs>
                <w:tab w:val="left" w:pos="720" w:leader="none"/>
              </w:tabs>
              <w:jc w:val="both"/>
              <w:rPr/>
            </w:pPr>
            <w:r>
              <w:rPr>
                <w:rFonts w:eastAsia="Calibri" w:cs="Arial" w:ascii="Arial" w:hAnsi="Arial"/>
                <w:color w:val="000000"/>
                <w:sz w:val="20"/>
                <w:szCs w:val="20"/>
              </w:rPr>
              <w:t xml:space="preserve">- Inscrever projetos de extensão em editais de outros órgãos/ instituições. </w:t>
            </w:r>
          </w:p>
        </w:tc>
        <w:tc>
          <w:tcPr>
            <w:tcW w:w="2882" w:type="dxa"/>
            <w:tcBorders/>
            <w:shd w:color="auto" w:fill="auto" w:val="clear"/>
          </w:tcPr>
          <w:p>
            <w:pPr>
              <w:pStyle w:val="Standard"/>
              <w:widowControl w:val="false"/>
              <w:tabs>
                <w:tab w:val="left" w:pos="720" w:leader="none"/>
              </w:tabs>
              <w:jc w:val="both"/>
              <w:rPr/>
            </w:pPr>
            <w:r>
              <w:rPr>
                <w:rFonts w:eastAsia="Calibri" w:cs="Arial" w:ascii="Arial" w:hAnsi="Arial"/>
                <w:color w:val="000000"/>
                <w:sz w:val="20"/>
                <w:szCs w:val="20"/>
              </w:rPr>
              <w:t>- Relatório das Coordenações de Curso (grad. e pós-grad.) indicando o nº de participação em editais por professor (mesmo que não tenha sido selecionado);</w:t>
            </w:r>
          </w:p>
          <w:p>
            <w:pPr>
              <w:pStyle w:val="Standard"/>
              <w:widowControl w:val="false"/>
              <w:tabs>
                <w:tab w:val="left" w:pos="720" w:leader="none"/>
              </w:tabs>
              <w:jc w:val="both"/>
              <w:rPr>
                <w:rFonts w:ascii="Arial" w:hAnsi="Arial" w:eastAsia="Calibri" w:cs="Arial"/>
                <w:color w:val="000000"/>
                <w:sz w:val="20"/>
                <w:szCs w:val="20"/>
              </w:rPr>
            </w:pPr>
            <w:r>
              <w:rPr>
                <w:rFonts w:eastAsia="Calibri" w:cs="Arial" w:ascii="Arial" w:hAnsi="Arial"/>
                <w:color w:val="000000"/>
                <w:sz w:val="20"/>
                <w:szCs w:val="20"/>
              </w:rPr>
            </w:r>
          </w:p>
          <w:p>
            <w:pPr>
              <w:pStyle w:val="Standard"/>
              <w:widowControl w:val="false"/>
              <w:tabs>
                <w:tab w:val="left" w:pos="720" w:leader="none"/>
              </w:tabs>
              <w:jc w:val="both"/>
              <w:rPr/>
            </w:pPr>
            <w:r>
              <w:rPr>
                <w:rFonts w:eastAsia="Calibri" w:cs="Arial" w:ascii="Arial" w:hAnsi="Arial"/>
                <w:color w:val="000000"/>
                <w:sz w:val="20"/>
                <w:szCs w:val="20"/>
              </w:rPr>
              <w:t>- Relatório de quais projetos submetidos foram selecionados.</w:t>
            </w:r>
          </w:p>
        </w:tc>
      </w:tr>
      <w:tr>
        <w:trPr/>
        <w:tc>
          <w:tcPr>
            <w:tcW w:w="2881" w:type="dxa"/>
            <w:tcBorders/>
            <w:shd w:color="auto"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rFonts w:cs="Arial" w:ascii="Arial" w:hAnsi="Arial"/>
                <w:sz w:val="20"/>
                <w:szCs w:val="20"/>
              </w:rPr>
              <w:t xml:space="preserve">4Ampliar a participação de alunos da comunidade do CEFD em projetos esportivos, artísticos, culturais. </w:t>
            </w:r>
          </w:p>
          <w:p>
            <w:pPr>
              <w:pStyle w:val="Standard"/>
              <w:widowControl w:val="false"/>
              <w:tabs>
                <w:tab w:val="left" w:pos="720" w:leader="none"/>
              </w:tabs>
              <w:spacing w:lineRule="auto" w:line="360"/>
              <w:jc w:val="both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</w:r>
          </w:p>
        </w:tc>
        <w:tc>
          <w:tcPr>
            <w:tcW w:w="2882" w:type="dxa"/>
            <w:tcBorders/>
            <w:shd w:color="auto" w:fill="auto" w:val="clear"/>
          </w:tcPr>
          <w:p>
            <w:pPr>
              <w:pStyle w:val="Standard"/>
              <w:widowControl w:val="false"/>
              <w:tabs>
                <w:tab w:val="left" w:pos="720" w:leader="none"/>
              </w:tabs>
              <w:jc w:val="both"/>
              <w:rPr>
                <w:rFonts w:ascii="Arial" w:hAnsi="Arial" w:eastAsia="Calibri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color w:val="000000"/>
                <w:sz w:val="20"/>
                <w:szCs w:val="20"/>
              </w:rPr>
            </w:r>
          </w:p>
          <w:p>
            <w:pPr>
              <w:pStyle w:val="Standard"/>
              <w:widowControl w:val="false"/>
              <w:tabs>
                <w:tab w:val="left" w:pos="720" w:leader="none"/>
              </w:tabs>
              <w:jc w:val="both"/>
              <w:rPr/>
            </w:pPr>
            <w:r>
              <w:rPr>
                <w:rFonts w:eastAsia="Calibri" w:cs="Arial" w:ascii="Arial" w:hAnsi="Arial"/>
                <w:color w:val="00000A"/>
                <w:sz w:val="20"/>
                <w:szCs w:val="20"/>
              </w:rPr>
              <w:t>- Criar uma Comissão (membros docentes, discentes e servidores técnico-administrativos do CEFD) responsável pela organização e acompanhamento da execução dos referidos projetos de modo geral (mesmo que cada projeto tenha sua equipe de elaboração);</w:t>
            </w:r>
          </w:p>
          <w:p>
            <w:pPr>
              <w:pStyle w:val="Standard"/>
              <w:widowControl w:val="false"/>
              <w:tabs>
                <w:tab w:val="left" w:pos="720" w:leader="none"/>
              </w:tabs>
              <w:jc w:val="both"/>
              <w:rPr>
                <w:rFonts w:ascii="Arial" w:hAnsi="Arial" w:eastAsia="Calibri" w:cs="Arial"/>
                <w:color w:val="00000A"/>
                <w:sz w:val="20"/>
                <w:szCs w:val="20"/>
              </w:rPr>
            </w:pPr>
            <w:r>
              <w:rPr>
                <w:rFonts w:eastAsia="Calibri" w:cs="Arial" w:ascii="Arial" w:hAnsi="Arial"/>
                <w:color w:val="00000A"/>
                <w:sz w:val="20"/>
                <w:szCs w:val="20"/>
              </w:rPr>
            </w:r>
          </w:p>
          <w:p>
            <w:pPr>
              <w:pStyle w:val="Standard"/>
              <w:widowControl w:val="false"/>
              <w:tabs>
                <w:tab w:val="left" w:pos="720" w:leader="none"/>
              </w:tabs>
              <w:jc w:val="both"/>
              <w:rPr/>
            </w:pPr>
            <w:r>
              <w:rPr>
                <w:rFonts w:eastAsia="Calibri" w:cs="Arial" w:ascii="Arial" w:hAnsi="Arial"/>
                <w:color w:val="00000A"/>
                <w:sz w:val="20"/>
                <w:szCs w:val="20"/>
              </w:rPr>
              <w:t>- Realização de eventos esportivos, artísticos, sociais e culturais envolvendo toda a comunidade do CEFD;</w:t>
            </w:r>
          </w:p>
          <w:p>
            <w:pPr>
              <w:pStyle w:val="Standard"/>
              <w:widowControl w:val="false"/>
              <w:tabs>
                <w:tab w:val="left" w:pos="720" w:leader="none"/>
              </w:tabs>
              <w:jc w:val="both"/>
              <w:rPr>
                <w:rFonts w:ascii="Arial" w:hAnsi="Arial" w:eastAsia="Calibri" w:cs="Arial"/>
                <w:color w:val="00000A"/>
                <w:sz w:val="20"/>
                <w:szCs w:val="20"/>
              </w:rPr>
            </w:pPr>
            <w:r>
              <w:rPr>
                <w:rFonts w:eastAsia="Calibri" w:cs="Arial" w:ascii="Arial" w:hAnsi="Arial"/>
                <w:color w:val="00000A"/>
                <w:sz w:val="20"/>
                <w:szCs w:val="20"/>
              </w:rPr>
            </w:r>
          </w:p>
          <w:p>
            <w:pPr>
              <w:pStyle w:val="Standard"/>
              <w:widowControl w:val="false"/>
              <w:tabs>
                <w:tab w:val="left" w:pos="720" w:leader="none"/>
              </w:tabs>
              <w:jc w:val="both"/>
              <w:rPr/>
            </w:pPr>
            <w:r>
              <w:rPr>
                <w:rFonts w:eastAsia="Calibri" w:cs="Arial" w:ascii="Arial" w:hAnsi="Arial"/>
                <w:color w:val="00000A"/>
                <w:sz w:val="20"/>
                <w:szCs w:val="20"/>
              </w:rPr>
              <w:t>- Auxílio na organização de eventos esportivos, artísticos, sociais e culturais de outros Centros da UFSM e da comunidade, envolvendo discentes e docentes do CEFD.</w:t>
            </w:r>
          </w:p>
          <w:p>
            <w:pPr>
              <w:pStyle w:val="Standard"/>
              <w:widowControl w:val="false"/>
              <w:tabs>
                <w:tab w:val="left" w:pos="720" w:leader="none"/>
              </w:tabs>
              <w:jc w:val="both"/>
              <w:rPr>
                <w:rFonts w:ascii="Arial" w:hAnsi="Arial" w:eastAsia="Calibri" w:cs="Arial"/>
                <w:color w:val="00000A"/>
                <w:sz w:val="20"/>
                <w:szCs w:val="20"/>
              </w:rPr>
            </w:pPr>
            <w:r>
              <w:rPr>
                <w:rFonts w:eastAsia="Calibri" w:cs="Arial" w:ascii="Arial" w:hAnsi="Arial"/>
                <w:color w:val="00000A"/>
                <w:sz w:val="20"/>
                <w:szCs w:val="20"/>
              </w:rPr>
            </w:r>
          </w:p>
          <w:p>
            <w:pPr>
              <w:pStyle w:val="Standard"/>
              <w:widowControl w:val="false"/>
              <w:tabs>
                <w:tab w:val="left" w:pos="720" w:leader="none"/>
              </w:tabs>
              <w:jc w:val="both"/>
              <w:rPr>
                <w:rFonts w:ascii="Arial" w:hAnsi="Arial" w:eastAsia="Calibri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color w:val="000000"/>
                <w:sz w:val="20"/>
                <w:szCs w:val="20"/>
              </w:rPr>
            </w:r>
          </w:p>
        </w:tc>
        <w:tc>
          <w:tcPr>
            <w:tcW w:w="2882" w:type="dxa"/>
            <w:tcBorders/>
            <w:shd w:color="auto" w:fill="auto" w:val="clear"/>
          </w:tcPr>
          <w:p>
            <w:pPr>
              <w:pStyle w:val="Standard"/>
              <w:widowControl w:val="false"/>
              <w:tabs>
                <w:tab w:val="left" w:pos="720" w:leader="none"/>
              </w:tabs>
              <w:jc w:val="both"/>
              <w:rPr/>
            </w:pPr>
            <w:r>
              <w:rPr>
                <w:rFonts w:eastAsia="Calibri" w:cs="Arial" w:ascii="Arial" w:hAnsi="Arial"/>
                <w:b/>
                <w:color w:val="FF0000"/>
                <w:sz w:val="20"/>
                <w:szCs w:val="20"/>
              </w:rPr>
              <w:t xml:space="preserve">- </w:t>
            </w:r>
            <w:r>
              <w:rPr>
                <w:rFonts w:eastAsia="Calibri" w:cs="Arial" w:ascii="Arial" w:hAnsi="Arial"/>
                <w:color w:val="000000"/>
                <w:sz w:val="20"/>
                <w:szCs w:val="20"/>
              </w:rPr>
              <w:t>Relatório da Comissão acerca dos dados dos projetos desenvolvidos no CEFD;</w:t>
            </w:r>
          </w:p>
          <w:p>
            <w:pPr>
              <w:pStyle w:val="Standard"/>
              <w:widowControl w:val="false"/>
              <w:tabs>
                <w:tab w:val="left" w:pos="720" w:leader="none"/>
              </w:tabs>
              <w:jc w:val="both"/>
              <w:rPr>
                <w:rFonts w:ascii="Arial" w:hAnsi="Arial" w:eastAsia="Calibri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color w:val="000000"/>
                <w:sz w:val="20"/>
                <w:szCs w:val="20"/>
              </w:rPr>
            </w:r>
          </w:p>
          <w:p>
            <w:pPr>
              <w:pStyle w:val="Standard"/>
              <w:widowControl w:val="false"/>
              <w:tabs>
                <w:tab w:val="left" w:pos="720" w:leader="none"/>
              </w:tabs>
              <w:jc w:val="both"/>
              <w:rPr/>
            </w:pPr>
            <w:r>
              <w:rPr>
                <w:rFonts w:eastAsia="Calibri" w:cs="Arial" w:ascii="Arial" w:hAnsi="Arial"/>
                <w:color w:val="00000A"/>
                <w:sz w:val="20"/>
                <w:szCs w:val="20"/>
              </w:rPr>
              <w:t>- Número de eventos que o CEFD realizou/apoiou;</w:t>
            </w:r>
          </w:p>
          <w:p>
            <w:pPr>
              <w:pStyle w:val="Standard"/>
              <w:widowControl w:val="false"/>
              <w:tabs>
                <w:tab w:val="left" w:pos="720" w:leader="none"/>
              </w:tabs>
              <w:jc w:val="both"/>
              <w:rPr>
                <w:rFonts w:ascii="Arial" w:hAnsi="Arial" w:eastAsia="Calibri" w:cs="Arial"/>
                <w:color w:val="00000A"/>
                <w:sz w:val="20"/>
                <w:szCs w:val="20"/>
              </w:rPr>
            </w:pPr>
            <w:r>
              <w:rPr>
                <w:rFonts w:eastAsia="Calibri" w:cs="Arial" w:ascii="Arial" w:hAnsi="Arial"/>
                <w:color w:val="00000A"/>
                <w:sz w:val="20"/>
                <w:szCs w:val="20"/>
              </w:rPr>
            </w:r>
          </w:p>
          <w:p>
            <w:pPr>
              <w:pStyle w:val="Standard"/>
              <w:widowControl w:val="false"/>
              <w:tabs>
                <w:tab w:val="left" w:pos="720" w:leader="none"/>
              </w:tabs>
              <w:jc w:val="both"/>
              <w:rPr/>
            </w:pPr>
            <w:r>
              <w:rPr>
                <w:rFonts w:eastAsia="Calibri" w:cs="Arial" w:ascii="Arial" w:hAnsi="Arial"/>
                <w:color w:val="00000A"/>
                <w:sz w:val="20"/>
                <w:szCs w:val="20"/>
              </w:rPr>
              <w:t>- Número de participantes por evento.</w:t>
            </w:r>
          </w:p>
        </w:tc>
      </w:tr>
      <w:tr>
        <w:trPr/>
        <w:tc>
          <w:tcPr>
            <w:tcW w:w="2881" w:type="dxa"/>
            <w:tcBorders/>
            <w:shd w:color="auto"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rFonts w:cs="Arial" w:ascii="Arial" w:hAnsi="Arial"/>
                <w:sz w:val="20"/>
                <w:szCs w:val="20"/>
              </w:rPr>
              <w:t>5Possibilitar ações que contemplem crianças e adolescentes em situação de vulnerabilidade social.</w:t>
            </w:r>
          </w:p>
          <w:p>
            <w:pPr>
              <w:pStyle w:val="Standard"/>
              <w:widowControl w:val="false"/>
              <w:tabs>
                <w:tab w:val="left" w:pos="720" w:leader="none"/>
              </w:tabs>
              <w:spacing w:lineRule="auto" w:line="360"/>
              <w:jc w:val="both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</w:r>
          </w:p>
        </w:tc>
        <w:tc>
          <w:tcPr>
            <w:tcW w:w="2882" w:type="dxa"/>
            <w:tcBorders/>
            <w:shd w:color="auto" w:fill="auto" w:val="clear"/>
          </w:tcPr>
          <w:p>
            <w:pPr>
              <w:pStyle w:val="Standard"/>
              <w:widowControl w:val="false"/>
              <w:tabs>
                <w:tab w:val="left" w:pos="720" w:leader="none"/>
              </w:tabs>
              <w:jc w:val="both"/>
              <w:rPr/>
            </w:pPr>
            <w:r>
              <w:rPr>
                <w:rFonts w:eastAsia="Calibri" w:cs="Arial" w:ascii="Arial" w:hAnsi="Arial"/>
                <w:color w:val="000000"/>
                <w:sz w:val="20"/>
                <w:szCs w:val="20"/>
              </w:rPr>
              <w:t xml:space="preserve">- Realização de projetos </w:t>
            </w:r>
            <w:r>
              <w:rPr>
                <w:rFonts w:cs="Arial" w:ascii="Arial" w:hAnsi="Arial"/>
                <w:sz w:val="20"/>
                <w:szCs w:val="20"/>
              </w:rPr>
              <w:t>(institucional e de extensão</w:t>
            </w:r>
            <w:r>
              <w:rPr>
                <w:rFonts w:eastAsia="Calibri" w:cs="Arial" w:ascii="Arial" w:hAnsi="Arial"/>
                <w:color w:val="000000"/>
                <w:sz w:val="20"/>
                <w:szCs w:val="20"/>
              </w:rPr>
              <w:t xml:space="preserve">) que envolvam crianças e </w:t>
            </w:r>
            <w:r>
              <w:rPr>
                <w:rFonts w:cs="Arial" w:ascii="Arial" w:hAnsi="Arial"/>
                <w:sz w:val="20"/>
                <w:szCs w:val="20"/>
              </w:rPr>
              <w:t>adolescentes em situação de vulnerabilidade social;</w:t>
            </w:r>
          </w:p>
          <w:p>
            <w:pPr>
              <w:pStyle w:val="Standard"/>
              <w:widowControl w:val="false"/>
              <w:tabs>
                <w:tab w:val="left" w:pos="720" w:leader="none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Standard"/>
              <w:widowControl w:val="false"/>
              <w:tabs>
                <w:tab w:val="left" w:pos="720" w:leader="none"/>
              </w:tabs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 xml:space="preserve">- </w:t>
            </w:r>
            <w:r>
              <w:rPr>
                <w:rFonts w:eastAsia="Calibri" w:cs="Arial" w:ascii="Arial" w:hAnsi="Arial"/>
                <w:color w:val="000000"/>
                <w:sz w:val="20"/>
                <w:szCs w:val="20"/>
              </w:rPr>
              <w:t>Realização dos projetos em escolas Municipais e Estaduais.</w:t>
            </w:r>
          </w:p>
          <w:p>
            <w:pPr>
              <w:pStyle w:val="Standard"/>
              <w:widowControl w:val="false"/>
              <w:tabs>
                <w:tab w:val="left" w:pos="720" w:leader="none"/>
              </w:tabs>
              <w:spacing w:lineRule="auto" w:line="360"/>
              <w:jc w:val="both"/>
              <w:rPr>
                <w:rFonts w:ascii="Arial" w:hAnsi="Arial" w:eastAsia="Calibri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color w:val="000000"/>
                <w:sz w:val="20"/>
                <w:szCs w:val="20"/>
              </w:rPr>
            </w:r>
          </w:p>
        </w:tc>
        <w:tc>
          <w:tcPr>
            <w:tcW w:w="2882" w:type="dxa"/>
            <w:tcBorders/>
            <w:shd w:color="auto" w:fill="auto" w:val="clear"/>
          </w:tcPr>
          <w:p>
            <w:pPr>
              <w:pStyle w:val="Standard"/>
              <w:widowControl w:val="false"/>
              <w:tabs>
                <w:tab w:val="left" w:pos="720" w:leader="none"/>
              </w:tabs>
              <w:jc w:val="both"/>
              <w:rPr/>
            </w:pPr>
            <w:r>
              <w:rPr>
                <w:rFonts w:eastAsia="Calibri" w:cs="Arial" w:ascii="Arial" w:hAnsi="Arial"/>
                <w:color w:val="000000"/>
                <w:sz w:val="20"/>
                <w:szCs w:val="20"/>
              </w:rPr>
              <w:t xml:space="preserve">- Relatório com o número de crianças e </w:t>
            </w:r>
            <w:r>
              <w:rPr>
                <w:rFonts w:cs="Arial" w:ascii="Arial" w:hAnsi="Arial"/>
                <w:sz w:val="20"/>
                <w:szCs w:val="20"/>
              </w:rPr>
              <w:t>adolescentes em situação de vulnerabilidade social que participam dos projetos do CEFD.</w:t>
            </w:r>
          </w:p>
        </w:tc>
      </w:tr>
    </w:tbl>
    <w:p>
      <w:pPr>
        <w:pStyle w:val="Standard"/>
        <w:widowControl w:val="false"/>
        <w:tabs>
          <w:tab w:val="left" w:pos="720" w:leader="none"/>
        </w:tabs>
        <w:spacing w:lineRule="auto" w:line="360" w:before="0" w:after="160"/>
        <w:jc w:val="both"/>
        <w:rPr>
          <w:rFonts w:ascii="Arial" w:hAnsi="Arial" w:cs="Arial"/>
          <w:b/>
          <w:b/>
          <w:color w:val="000000"/>
          <w:sz w:val="20"/>
          <w:szCs w:val="20"/>
        </w:rPr>
      </w:pPr>
      <w:r>
        <w:rPr>
          <w:rFonts w:cs="Arial" w:ascii="Arial" w:hAnsi="Arial"/>
          <w:b/>
          <w:color w:val="000000"/>
          <w:sz w:val="20"/>
          <w:szCs w:val="20"/>
        </w:rPr>
      </w:r>
    </w:p>
    <w:p>
      <w:pPr>
        <w:pStyle w:val="Standard"/>
        <w:widowControl w:val="false"/>
        <w:tabs>
          <w:tab w:val="left" w:pos="720" w:leader="none"/>
        </w:tabs>
        <w:spacing w:lineRule="auto" w:line="360" w:before="0" w:after="160"/>
        <w:jc w:val="both"/>
        <w:rPr/>
      </w:pPr>
      <w:r>
        <w:rPr>
          <w:rFonts w:cs="Arial" w:ascii="Arial" w:hAnsi="Arial"/>
          <w:b/>
          <w:color w:val="000000"/>
        </w:rPr>
        <w:t xml:space="preserve">Inovação, Geração de conhecimento e Transferência de Tecnologia (D 4) </w:t>
      </w:r>
    </w:p>
    <w:p>
      <w:pPr>
        <w:pStyle w:val="Standard"/>
        <w:widowControl w:val="false"/>
        <w:tabs>
          <w:tab w:val="left" w:pos="720" w:leader="none"/>
        </w:tabs>
        <w:spacing w:lineRule="auto" w:line="360" w:before="0" w:after="160"/>
        <w:ind w:left="786" w:hang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tbl>
      <w:tblPr>
        <w:tblStyle w:val="Tabelacomgrade"/>
        <w:tblW w:w="7934" w:type="dxa"/>
        <w:jc w:val="left"/>
        <w:tblInd w:w="770" w:type="dxa"/>
        <w:tblBorders/>
        <w:tblCellMar>
          <w:top w:w="0" w:type="dxa"/>
          <w:left w:w="9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88"/>
        <w:gridCol w:w="2546"/>
        <w:gridCol w:w="2700"/>
      </w:tblGrid>
      <w:tr>
        <w:trPr/>
        <w:tc>
          <w:tcPr>
            <w:tcW w:w="2688" w:type="dxa"/>
            <w:tcBorders/>
            <w:shd w:color="auto" w:fill="auto" w:val="clear"/>
          </w:tcPr>
          <w:p>
            <w:pPr>
              <w:pStyle w:val="Standard"/>
              <w:widowControl w:val="false"/>
              <w:tabs>
                <w:tab w:val="left" w:pos="720" w:leader="none"/>
              </w:tabs>
              <w:spacing w:lineRule="auto" w:line="360"/>
              <w:jc w:val="both"/>
              <w:rPr/>
            </w:pPr>
            <w:r>
              <w:rPr>
                <w:rFonts w:eastAsia="Calibri" w:cs="Arial" w:ascii="Arial" w:hAnsi="Arial"/>
                <w:b/>
                <w:color w:val="000000"/>
                <w:sz w:val="20"/>
                <w:szCs w:val="20"/>
              </w:rPr>
              <w:t>OBJETIVOS</w:t>
            </w:r>
          </w:p>
        </w:tc>
        <w:tc>
          <w:tcPr>
            <w:tcW w:w="2546" w:type="dxa"/>
            <w:tcBorders/>
            <w:shd w:color="auto" w:fill="auto" w:val="clear"/>
          </w:tcPr>
          <w:p>
            <w:pPr>
              <w:pStyle w:val="Standard"/>
              <w:widowControl w:val="false"/>
              <w:tabs>
                <w:tab w:val="left" w:pos="720" w:leader="none"/>
              </w:tabs>
              <w:spacing w:lineRule="auto" w:line="360"/>
              <w:jc w:val="both"/>
              <w:rPr/>
            </w:pPr>
            <w:r>
              <w:rPr>
                <w:rFonts w:eastAsia="Calibri" w:cs="Arial" w:ascii="Arial" w:hAnsi="Arial"/>
                <w:b/>
                <w:color w:val="000000"/>
                <w:sz w:val="20"/>
                <w:szCs w:val="20"/>
              </w:rPr>
              <w:t>AÇÕES</w:t>
            </w:r>
          </w:p>
        </w:tc>
        <w:tc>
          <w:tcPr>
            <w:tcW w:w="2700" w:type="dxa"/>
            <w:tcBorders/>
            <w:shd w:color="auto" w:fill="auto" w:val="clear"/>
          </w:tcPr>
          <w:p>
            <w:pPr>
              <w:pStyle w:val="Standard"/>
              <w:widowControl w:val="false"/>
              <w:tabs>
                <w:tab w:val="left" w:pos="720" w:leader="none"/>
              </w:tabs>
              <w:spacing w:lineRule="auto" w:line="360"/>
              <w:jc w:val="both"/>
              <w:rPr/>
            </w:pPr>
            <w:r>
              <w:rPr>
                <w:rFonts w:eastAsia="Calibri" w:cs="Arial" w:ascii="Arial" w:hAnsi="Arial"/>
                <w:b/>
                <w:color w:val="000000"/>
                <w:sz w:val="20"/>
                <w:szCs w:val="20"/>
              </w:rPr>
              <w:t>INDICADORES</w:t>
            </w:r>
          </w:p>
        </w:tc>
      </w:tr>
      <w:tr>
        <w:trPr/>
        <w:tc>
          <w:tcPr>
            <w:tcW w:w="2688" w:type="dxa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1Buscar oportunidades de financiamento em instituições, ministérios, agências de fomento e empresas que ofereçam chamadas públicas para qualificação dos laboratórios, custeio de pesquisas, bem como, bolsas para pesquisadores.</w:t>
            </w:r>
          </w:p>
          <w:p>
            <w:pPr>
              <w:pStyle w:val="Standard"/>
              <w:widowControl w:val="false"/>
              <w:tabs>
                <w:tab w:val="left" w:pos="720" w:leader="none"/>
              </w:tabs>
              <w:spacing w:lineRule="auto" w:line="360"/>
              <w:ind w:left="720" w:hang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2546" w:type="dxa"/>
            <w:tcBorders/>
            <w:shd w:color="auto" w:fill="auto" w:val="clear"/>
          </w:tcPr>
          <w:p>
            <w:pPr>
              <w:pStyle w:val="Standard"/>
              <w:widowControl w:val="false"/>
              <w:tabs>
                <w:tab w:val="left" w:pos="720" w:leader="none"/>
              </w:tabs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- Estabelecer uma unidade do CEFD que fique responsável pela busca diária de oportunidades de financiamento para pesquisa</w:t>
            </w:r>
          </w:p>
        </w:tc>
        <w:tc>
          <w:tcPr>
            <w:tcW w:w="2700" w:type="dxa"/>
            <w:tcBorders/>
            <w:shd w:color="auto" w:fill="auto" w:val="clear"/>
          </w:tcPr>
          <w:p>
            <w:pPr>
              <w:pStyle w:val="Standard"/>
              <w:widowControl w:val="false"/>
              <w:tabs>
                <w:tab w:val="left" w:pos="720" w:leader="none"/>
              </w:tabs>
              <w:jc w:val="both"/>
              <w:rPr/>
            </w:pPr>
            <w:r>
              <w:rPr>
                <w:rFonts w:eastAsia="Calibri" w:cs="Arial" w:ascii="Arial" w:hAnsi="Arial"/>
                <w:color w:val="000000"/>
                <w:sz w:val="20"/>
                <w:szCs w:val="20"/>
              </w:rPr>
              <w:t xml:space="preserve">- </w:t>
            </w:r>
            <w:r>
              <w:rPr>
                <w:rFonts w:cs="Arial" w:ascii="Arial" w:hAnsi="Arial"/>
                <w:sz w:val="20"/>
                <w:szCs w:val="20"/>
              </w:rPr>
              <w:t>Agências: CAPES, CNPq, FAPERGS, MEC , Editais internos – UFSM</w:t>
            </w:r>
          </w:p>
        </w:tc>
      </w:tr>
      <w:tr>
        <w:trPr/>
        <w:tc>
          <w:tcPr>
            <w:tcW w:w="2688" w:type="dxa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2Qualificar e ampliar as ações de fomento à pesquisa com parcerias e convênios.</w:t>
            </w:r>
          </w:p>
          <w:p>
            <w:pPr>
              <w:pStyle w:val="Standard"/>
              <w:widowControl w:val="false"/>
              <w:tabs>
                <w:tab w:val="left" w:pos="720" w:leader="none"/>
              </w:tabs>
              <w:spacing w:lineRule="auto" w:line="360"/>
              <w:ind w:left="720" w:hang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2546" w:type="dxa"/>
            <w:tcBorders/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cs="Arial" w:ascii="Arial" w:hAnsi="Arial"/>
                <w:color w:val="00000A"/>
                <w:sz w:val="20"/>
                <w:szCs w:val="20"/>
                <w:lang w:eastAsia="zh-CN"/>
              </w:rPr>
              <w:t>- Parcerias bilaterais: Com diferentes universidades brasileiras e estrangeiras; PETROBRáS, BANRISUL. BANCO DO BRASIL, ONGs</w:t>
            </w:r>
          </w:p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cs="Arial" w:ascii="Arial" w:hAnsi="Arial"/>
                <w:color w:val="00000A"/>
                <w:sz w:val="20"/>
                <w:szCs w:val="20"/>
                <w:lang w:eastAsia="zh-CN"/>
              </w:rPr>
              <w:t>- Participação em Projeto Rondon (com propostas)</w:t>
            </w:r>
          </w:p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cs="Arial" w:ascii="Arial" w:hAnsi="Arial"/>
                <w:color w:val="00000A"/>
                <w:sz w:val="20"/>
                <w:szCs w:val="20"/>
                <w:lang w:eastAsia="zh-CN"/>
              </w:rPr>
              <w:t>- Comunicação/divulgação (por  discentes e docentes) de projetos e ações desenvolvidas em Ensino/pesquisa/extensão</w:t>
            </w:r>
          </w:p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cs="Arial" w:ascii="Arial" w:hAnsi="Arial"/>
                <w:color w:val="00000A"/>
                <w:sz w:val="20"/>
                <w:szCs w:val="20"/>
                <w:lang w:eastAsia="zh-CN"/>
              </w:rPr>
              <w:t>- Fortalecer e ampliar ações existentes (graduação)</w:t>
            </w:r>
          </w:p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cs="Arial" w:ascii="Arial" w:hAnsi="Arial"/>
                <w:color w:val="00000A"/>
                <w:sz w:val="20"/>
                <w:szCs w:val="20"/>
                <w:lang w:eastAsia="zh-CN"/>
              </w:rPr>
              <w:t xml:space="preserve">- Editais para a promoção de participação em eventos </w:t>
            </w:r>
          </w:p>
          <w:p>
            <w:pPr>
              <w:pStyle w:val="Standard"/>
              <w:widowControl w:val="false"/>
              <w:tabs>
                <w:tab w:val="left" w:pos="720" w:leader="none"/>
              </w:tabs>
              <w:spacing w:lineRule="auto" w:line="240"/>
              <w:jc w:val="both"/>
              <w:rPr/>
            </w:pPr>
            <w:r>
              <w:rPr>
                <w:rFonts w:eastAsia="Calibri" w:cs="Arial" w:ascii="Arial" w:hAnsi="Arial"/>
                <w:color w:val="00000A"/>
                <w:sz w:val="20"/>
                <w:szCs w:val="20"/>
                <w:lang w:bidi="ar-SA"/>
              </w:rPr>
              <w:t>- Organizar e divulgar de forma coordenada a apresentação de trabalhos de conclusão de curso nos diferentes níveis (Educação Física, Dança, Especialização EF escolar, Mestrado EF, Mestrado Gerontologia).</w:t>
            </w:r>
          </w:p>
        </w:tc>
        <w:tc>
          <w:tcPr>
            <w:tcW w:w="2700" w:type="dxa"/>
            <w:tcBorders/>
            <w:shd w:color="auto" w:fill="auto" w:val="clear"/>
          </w:tcPr>
          <w:p>
            <w:pPr>
              <w:pStyle w:val="Standard"/>
              <w:widowControl w:val="false"/>
              <w:tabs>
                <w:tab w:val="left" w:pos="720" w:leader="none"/>
              </w:tabs>
              <w:jc w:val="both"/>
              <w:rPr/>
            </w:pPr>
            <w:r>
              <w:rPr>
                <w:rFonts w:eastAsia="Calibri" w:cs="Arial" w:ascii="Arial" w:hAnsi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>- Sistematizar e divulgar quantitativos de trabalhos concluídos (nos diferentes cursos).</w:t>
            </w:r>
          </w:p>
        </w:tc>
      </w:tr>
      <w:tr>
        <w:trPr/>
        <w:tc>
          <w:tcPr>
            <w:tcW w:w="2688" w:type="dxa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3Ampliar o uso de tecnologias em diferentes processos institucionais.</w:t>
            </w:r>
          </w:p>
          <w:p>
            <w:pPr>
              <w:pStyle w:val="Standard"/>
              <w:widowControl w:val="false"/>
              <w:tabs>
                <w:tab w:val="left" w:pos="720" w:leader="none"/>
              </w:tabs>
              <w:spacing w:lineRule="auto" w:line="360"/>
              <w:ind w:left="720" w:hang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2546" w:type="dxa"/>
            <w:tcBorders/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cs="Arial" w:ascii="Arial" w:hAnsi="Arial"/>
                <w:color w:val="00000A"/>
                <w:sz w:val="20"/>
                <w:szCs w:val="20"/>
                <w:lang w:eastAsia="zh-CN"/>
              </w:rPr>
              <w:t>- Oferecer semestralmente cursos de capacitação para uso  adequado e moderno de Tis (TICs?) em aulas e eventos</w:t>
            </w:r>
          </w:p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cs="Arial" w:ascii="Arial" w:hAnsi="Arial"/>
                <w:color w:val="00000A"/>
                <w:sz w:val="20"/>
                <w:szCs w:val="20"/>
                <w:lang w:eastAsia="zh-CN"/>
              </w:rPr>
              <w:t>- Criar estratégias de comunicação facilitada no CEFD através das Tis (TICs)</w:t>
            </w:r>
          </w:p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cs="Arial" w:ascii="Arial" w:hAnsi="Arial"/>
                <w:color w:val="00000A"/>
                <w:sz w:val="20"/>
                <w:szCs w:val="20"/>
                <w:lang w:eastAsia="zh-CN"/>
              </w:rPr>
              <w:t>- Programar envio de comunicados (automáticos) para PPGs, grupos de pesquisa, coordenação de cursos sobre abertura de inscrições para mestrado e divulgar editais para mestrado/doutorado de outros programas e instituições</w:t>
            </w:r>
          </w:p>
          <w:p>
            <w:pPr>
              <w:pStyle w:val="Standard"/>
              <w:widowControl w:val="false"/>
              <w:tabs>
                <w:tab w:val="left" w:pos="720" w:leader="none"/>
              </w:tabs>
              <w:spacing w:lineRule="auto" w:line="240"/>
              <w:jc w:val="both"/>
              <w:rPr/>
            </w:pPr>
            <w:r>
              <w:rPr>
                <w:rFonts w:eastAsia="Calibri" w:cs="Arial" w:ascii="Arial" w:hAnsi="Arial"/>
                <w:color w:val="00000A"/>
                <w:sz w:val="20"/>
                <w:szCs w:val="20"/>
                <w:lang w:bidi="ar-SA"/>
              </w:rPr>
              <w:t>- Aquisição de programas de detecção de plágio e de análise de dados</w:t>
            </w:r>
          </w:p>
        </w:tc>
        <w:tc>
          <w:tcPr>
            <w:tcW w:w="2700" w:type="dxa"/>
            <w:tcBorders/>
            <w:shd w:color="auto" w:fill="auto" w:val="clear"/>
          </w:tcPr>
          <w:p>
            <w:pPr>
              <w:pStyle w:val="Standard"/>
              <w:widowControl w:val="false"/>
              <w:tabs>
                <w:tab w:val="left" w:pos="720" w:leader="none"/>
              </w:tabs>
              <w:jc w:val="both"/>
              <w:rPr/>
            </w:pPr>
            <w:r>
              <w:rPr>
                <w:rFonts w:eastAsia="Calibri" w:cs="Arial" w:ascii="Arial" w:hAnsi="Arial"/>
                <w:color w:val="000000"/>
                <w:sz w:val="20"/>
                <w:szCs w:val="20"/>
              </w:rPr>
              <w:t>-</w:t>
            </w:r>
            <w:r>
              <w:rPr>
                <w:rFonts w:cs="Arial" w:ascii="Arial" w:hAnsi="Arial"/>
                <w:sz w:val="20"/>
                <w:szCs w:val="20"/>
              </w:rPr>
              <w:t>Indicadores quantitativos de dados sobre os cursos e público atendido nessas capacitações.</w:t>
            </w:r>
          </w:p>
        </w:tc>
      </w:tr>
      <w:tr>
        <w:trPr/>
        <w:tc>
          <w:tcPr>
            <w:tcW w:w="2688" w:type="dxa"/>
            <w:tcBorders/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textAlignment w:val="baseline"/>
              <w:rPr/>
            </w:pPr>
            <w:r>
              <w:rPr>
                <w:rFonts w:eastAsia="NSimSun" w:cs="Arial" w:ascii="Arial" w:hAnsi="Arial"/>
                <w:bCs/>
                <w:sz w:val="20"/>
                <w:szCs w:val="20"/>
                <w:lang w:eastAsia="zh-CN" w:bidi="hi-IN"/>
              </w:rPr>
              <w:t>4Oferecer uma infraestrutura de apoio qualificada e de acordo com as necessidades de cada área de conhecimento.</w:t>
            </w:r>
          </w:p>
          <w:p>
            <w:pPr>
              <w:pStyle w:val="Standard"/>
              <w:widowControl w:val="false"/>
              <w:tabs>
                <w:tab w:val="left" w:pos="720" w:leader="none"/>
              </w:tabs>
              <w:spacing w:lineRule="auto" w:line="240"/>
              <w:ind w:left="720" w:hang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254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- </w:t>
            </w:r>
            <w:r>
              <w:rPr>
                <w:rFonts w:cs="Arial" w:ascii="Arial" w:hAnsi="Arial"/>
                <w:color w:val="00000A"/>
                <w:sz w:val="20"/>
                <w:szCs w:val="20"/>
                <w:lang w:eastAsia="zh-CN"/>
              </w:rPr>
              <w:t>Manutenção regular de equipamentos eletrônicos nas salas de aula e material multimídia</w:t>
            </w:r>
          </w:p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cs="Arial" w:ascii="Arial" w:hAnsi="Arial"/>
                <w:color w:val="00000A"/>
                <w:sz w:val="20"/>
                <w:szCs w:val="20"/>
                <w:lang w:eastAsia="zh-CN"/>
              </w:rPr>
              <w:t>- Aquisição de quadros novos e canetas adequadas</w:t>
            </w:r>
          </w:p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cs="Arial" w:ascii="Arial" w:hAnsi="Arial"/>
                <w:color w:val="00000A"/>
                <w:sz w:val="20"/>
                <w:szCs w:val="20"/>
                <w:lang w:eastAsia="zh-CN"/>
              </w:rPr>
              <w:t>- Aquisição e acondicionamento adequado de materiais para as diferentes áreas de forma equânime</w:t>
            </w:r>
          </w:p>
          <w:p>
            <w:pPr>
              <w:pStyle w:val="Standard"/>
              <w:widowControl w:val="false"/>
              <w:tabs>
                <w:tab w:val="left" w:pos="720" w:leader="none"/>
              </w:tabs>
              <w:spacing w:lineRule="auto" w:line="240"/>
              <w:jc w:val="both"/>
              <w:rPr/>
            </w:pPr>
            <w:r>
              <w:rPr>
                <w:rFonts w:eastAsia="Calibri" w:cs="Arial" w:ascii="Arial" w:hAnsi="Arial"/>
                <w:color w:val="00000A"/>
                <w:sz w:val="20"/>
                <w:szCs w:val="20"/>
                <w:lang w:bidi="ar-SA"/>
              </w:rPr>
              <w:t>- constituição de um almoxarifado de materiais didáticos e esportivos para uso mais amplo</w:t>
            </w:r>
          </w:p>
        </w:tc>
        <w:tc>
          <w:tcPr>
            <w:tcW w:w="2700" w:type="dxa"/>
            <w:tcBorders/>
            <w:shd w:color="auto" w:fill="auto" w:val="clear"/>
          </w:tcPr>
          <w:p>
            <w:pPr>
              <w:pStyle w:val="Standard"/>
              <w:widowControl w:val="false"/>
              <w:tabs>
                <w:tab w:val="left" w:pos="720" w:leader="none"/>
              </w:tabs>
              <w:spacing w:lineRule="auto" w:line="360"/>
              <w:jc w:val="both"/>
              <w:rPr/>
            </w:pPr>
            <w:r>
              <w:rPr>
                <w:rFonts w:eastAsia="Calibri" w:cs="Arial" w:ascii="Arial" w:hAnsi="Arial"/>
                <w:color w:val="000000"/>
                <w:sz w:val="20"/>
                <w:szCs w:val="20"/>
              </w:rPr>
              <w:t xml:space="preserve">- </w:t>
            </w:r>
            <w:r>
              <w:rPr>
                <w:rFonts w:cs="Arial" w:ascii="Arial" w:hAnsi="Arial"/>
                <w:sz w:val="20"/>
                <w:szCs w:val="20"/>
              </w:rPr>
              <w:t>Inventários.</w:t>
            </w:r>
          </w:p>
        </w:tc>
      </w:tr>
      <w:tr>
        <w:trPr/>
        <w:tc>
          <w:tcPr>
            <w:tcW w:w="268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 xml:space="preserve">5Qualificar a estrutura e gestão da Revista científica do CEFD. </w:t>
            </w:r>
          </w:p>
          <w:p>
            <w:pPr>
              <w:pStyle w:val="Standard"/>
              <w:widowControl w:val="false"/>
              <w:tabs>
                <w:tab w:val="left" w:pos="720" w:leader="none"/>
              </w:tabs>
              <w:spacing w:lineRule="auto" w:line="240"/>
              <w:ind w:left="720" w:hang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254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color w:val="00000A"/>
                <w:sz w:val="20"/>
                <w:szCs w:val="20"/>
                <w:lang w:eastAsia="zh-CN"/>
              </w:rPr>
              <w:t xml:space="preserve">- Estabelecer uma obrigatoriedade de publicação de, Pelo menos um artigo por ano na Revista Científica do CEFD, por professor </w:t>
            </w:r>
          </w:p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cs="Arial" w:ascii="Arial" w:hAnsi="Arial"/>
                <w:color w:val="00000A"/>
                <w:sz w:val="20"/>
                <w:szCs w:val="20"/>
                <w:lang w:eastAsia="zh-CN"/>
              </w:rPr>
              <w:t xml:space="preserve">* Ação relativa à Kinesis: Contemplar os 20% de artigos de cada edição da Revista Kinesis  com publicações de docentes do CEFD, assegurando as duas áreas (por  edição) </w:t>
            </w:r>
          </w:p>
          <w:p>
            <w:pPr>
              <w:pStyle w:val="Standard"/>
              <w:widowControl w:val="false"/>
              <w:tabs>
                <w:tab w:val="left" w:pos="720" w:leader="none"/>
              </w:tabs>
              <w:spacing w:lineRule="auto" w:line="240"/>
              <w:jc w:val="both"/>
              <w:rPr/>
            </w:pPr>
            <w:r>
              <w:rPr>
                <w:rFonts w:eastAsia="Calibri" w:cs="Arial" w:ascii="Arial" w:hAnsi="Arial"/>
                <w:color w:val="00000A"/>
                <w:sz w:val="20"/>
                <w:szCs w:val="20"/>
                <w:lang w:bidi="ar-SA"/>
              </w:rPr>
              <w:t>- Encaminhar convites a diferentes PPGs para chamadas de artigos na Kinesis (seja em números temáticos ou não)</w:t>
            </w:r>
          </w:p>
        </w:tc>
        <w:tc>
          <w:tcPr>
            <w:tcW w:w="2700" w:type="dxa"/>
            <w:tcBorders/>
            <w:shd w:color="auto" w:fill="auto" w:val="clear"/>
          </w:tcPr>
          <w:p>
            <w:pPr>
              <w:pStyle w:val="Standard"/>
              <w:widowControl w:val="false"/>
              <w:tabs>
                <w:tab w:val="left" w:pos="720" w:leader="none"/>
              </w:tabs>
              <w:spacing w:lineRule="auto" w:line="240"/>
              <w:jc w:val="both"/>
              <w:rPr/>
            </w:pPr>
            <w:r>
              <w:rPr>
                <w:rFonts w:eastAsia="Calibri" w:cs="Arial" w:ascii="Arial" w:hAnsi="Arial"/>
                <w:color w:val="00000A"/>
                <w:sz w:val="20"/>
                <w:szCs w:val="20"/>
              </w:rPr>
              <w:t>- Número de artigos de docentes do CEFD publicados na revista.</w:t>
            </w:r>
          </w:p>
          <w:p>
            <w:pPr>
              <w:pStyle w:val="Standard"/>
              <w:widowControl w:val="false"/>
              <w:tabs>
                <w:tab w:val="left" w:pos="720" w:leader="none"/>
              </w:tabs>
              <w:spacing w:lineRule="auto" w:line="240"/>
              <w:jc w:val="both"/>
              <w:rPr>
                <w:rFonts w:ascii="Arial" w:hAnsi="Arial" w:eastAsia="Calibri" w:cs="Arial"/>
                <w:color w:val="FF0000"/>
                <w:sz w:val="20"/>
                <w:szCs w:val="20"/>
              </w:rPr>
            </w:pPr>
            <w:r>
              <w:rPr>
                <w:rFonts w:eastAsia="Calibri" w:cs="Arial" w:ascii="Arial" w:hAnsi="Arial"/>
                <w:color w:val="FF0000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color w:val="FF0000"/>
                <w:sz w:val="20"/>
                <w:szCs w:val="20"/>
              </w:rPr>
              <w:t xml:space="preserve">- </w:t>
            </w:r>
            <w:r>
              <w:rPr>
                <w:rFonts w:cs="Arial" w:ascii="Arial" w:hAnsi="Arial"/>
                <w:color w:val="00000A"/>
                <w:sz w:val="20"/>
                <w:szCs w:val="20"/>
                <w:lang w:eastAsia="zh-CN"/>
              </w:rPr>
              <w:t xml:space="preserve">Número de artigos de docentes do CEFD publicados na revista. 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Arial" w:hAnsi="Arial" w:cs="Arial"/>
                <w:color w:val="00000A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color w:val="00000A"/>
                <w:sz w:val="20"/>
                <w:szCs w:val="20"/>
                <w:lang w:eastAsia="zh-C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Arial" w:hAnsi="Arial" w:cs="Arial"/>
                <w:color w:val="00000A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color w:val="00000A"/>
                <w:sz w:val="20"/>
                <w:szCs w:val="20"/>
                <w:lang w:eastAsia="zh-CN"/>
              </w:rPr>
            </w:r>
          </w:p>
          <w:p>
            <w:pPr>
              <w:pStyle w:val="Standard"/>
              <w:widowControl w:val="false"/>
              <w:tabs>
                <w:tab w:val="left" w:pos="720" w:leader="none"/>
              </w:tabs>
              <w:spacing w:lineRule="auto" w:line="240"/>
              <w:jc w:val="both"/>
              <w:rPr/>
            </w:pPr>
            <w:r>
              <w:rPr>
                <w:rFonts w:eastAsia="Calibri" w:cs="Arial" w:ascii="Arial" w:hAnsi="Arial"/>
                <w:color w:val="00000A"/>
                <w:sz w:val="20"/>
                <w:szCs w:val="20"/>
                <w:lang w:bidi="ar-SA"/>
              </w:rPr>
              <w:t>- Elaborar e divulgar os indicadores quantitativos de publicações da Kinesis</w:t>
            </w:r>
          </w:p>
        </w:tc>
      </w:tr>
    </w:tbl>
    <w:p>
      <w:pPr>
        <w:pStyle w:val="Standard"/>
        <w:widowControl w:val="false"/>
        <w:tabs>
          <w:tab w:val="left" w:pos="720" w:leader="none"/>
        </w:tabs>
        <w:spacing w:lineRule="auto" w:line="360" w:before="0" w:after="160"/>
        <w:ind w:left="786" w:hang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ListParagraph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ListParagraph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ListParagraph"/>
        <w:ind w:left="0" w:hanging="0"/>
        <w:jc w:val="both"/>
        <w:rPr/>
      </w:pPr>
      <w:r>
        <w:rPr>
          <w:rFonts w:cs="Arial" w:ascii="Arial" w:hAnsi="Arial"/>
          <w:b/>
          <w:sz w:val="24"/>
          <w:szCs w:val="24"/>
        </w:rPr>
        <w:t xml:space="preserve"> </w:t>
      </w:r>
      <w:r>
        <w:rPr>
          <w:rFonts w:cs="Arial" w:ascii="Arial" w:hAnsi="Arial"/>
          <w:b/>
          <w:sz w:val="24"/>
          <w:szCs w:val="24"/>
        </w:rPr>
        <w:t>Modernização e Desenvolvimento organizacional (D 5)</w:t>
      </w:r>
    </w:p>
    <w:p>
      <w:pPr>
        <w:pStyle w:val="ListParagraph"/>
        <w:ind w:left="0" w:hanging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tbl>
      <w:tblPr>
        <w:tblStyle w:val="Tabelacomgrade"/>
        <w:tblW w:w="8645" w:type="dxa"/>
        <w:jc w:val="left"/>
        <w:tblInd w:w="-15" w:type="dxa"/>
        <w:tblBorders/>
        <w:tblCellMar>
          <w:top w:w="0" w:type="dxa"/>
          <w:left w:w="9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81"/>
        <w:gridCol w:w="2882"/>
        <w:gridCol w:w="2882"/>
      </w:tblGrid>
      <w:tr>
        <w:trPr/>
        <w:tc>
          <w:tcPr>
            <w:tcW w:w="2881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OBJETIVOS</w:t>
            </w:r>
          </w:p>
        </w:tc>
        <w:tc>
          <w:tcPr>
            <w:tcW w:w="2882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AÇÕES</w:t>
            </w:r>
          </w:p>
        </w:tc>
        <w:tc>
          <w:tcPr>
            <w:tcW w:w="2882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INDICADORES</w:t>
            </w:r>
          </w:p>
        </w:tc>
      </w:tr>
      <w:tr>
        <w:trPr/>
        <w:tc>
          <w:tcPr>
            <w:tcW w:w="288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1Realizar levantamento de necessidades de acessibilidade e sustentabilidade.</w:t>
            </w:r>
          </w:p>
          <w:p>
            <w:pPr>
              <w:pStyle w:val="ListParagraph"/>
              <w:spacing w:lineRule="auto" w:line="240" w:before="0" w:after="0"/>
              <w:jc w:val="both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2882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>
                <w:rFonts w:eastAsia="Calibri" w:cs="Arial" w:ascii="Arial" w:hAnsi="Arial" w:eastAsiaTheme="minorHAnsi"/>
                <w:color w:val="00000A"/>
                <w:sz w:val="20"/>
                <w:szCs w:val="20"/>
              </w:rPr>
              <w:t>- Diagnóstico do contexto atual no CEFD, com base nos documentos oficiais;</w:t>
            </w:r>
          </w:p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eastAsia="Calibri" w:cs="Arial" w:ascii="Arial" w:hAnsi="Arial" w:eastAsiaTheme="minorHAnsi"/>
                <w:color w:val="00000A"/>
                <w:sz w:val="20"/>
                <w:szCs w:val="20"/>
              </w:rPr>
              <w:t>- Instrumentalizar docentes e TAEs, através de cursos (libras, áudio-descrição) e dinâmicas de grupo, para receber alunos/colegas com necessidades especiais;</w:t>
            </w:r>
          </w:p>
        </w:tc>
        <w:tc>
          <w:tcPr>
            <w:tcW w:w="2882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 xml:space="preserve">- </w:t>
            </w:r>
            <w:r>
              <w:rPr>
                <w:rFonts w:eastAsia="Calibri" w:cs="Arial" w:ascii="Arial" w:hAnsi="Arial" w:eastAsiaTheme="minorHAnsi"/>
                <w:color w:val="00000A"/>
                <w:sz w:val="20"/>
                <w:szCs w:val="20"/>
              </w:rPr>
              <w:t>Aplicação de questionários com perguntas abertas e fechadas;</w:t>
            </w:r>
          </w:p>
          <w:p>
            <w:pPr>
              <w:pStyle w:val="Normal"/>
              <w:spacing w:lineRule="auto" w:line="276" w:before="0" w:after="200"/>
              <w:rPr/>
            </w:pPr>
            <w:r>
              <w:rPr>
                <w:rFonts w:eastAsia="Calibri" w:cs="Arial" w:ascii="Arial" w:hAnsi="Arial" w:eastAsiaTheme="minorHAnsi"/>
                <w:color w:val="00000A"/>
                <w:sz w:val="20"/>
                <w:szCs w:val="20"/>
              </w:rPr>
              <w:t>- Entrevistas;</w:t>
            </w:r>
          </w:p>
          <w:p>
            <w:pPr>
              <w:pStyle w:val="Normal"/>
              <w:spacing w:lineRule="auto" w:line="276" w:before="0" w:after="200"/>
              <w:rPr/>
            </w:pPr>
            <w:r>
              <w:rPr>
                <w:rFonts w:eastAsia="Calibri" w:cs="Arial" w:ascii="Arial" w:hAnsi="Arial" w:eastAsiaTheme="minorHAnsi"/>
                <w:color w:val="00000A"/>
                <w:sz w:val="20"/>
                <w:szCs w:val="20"/>
              </w:rPr>
              <w:t>- Ouvidoria setorial;</w:t>
            </w:r>
          </w:p>
          <w:p>
            <w:pPr>
              <w:pStyle w:val="Normal"/>
              <w:spacing w:lineRule="auto" w:line="276" w:before="0" w:after="200"/>
              <w:rPr/>
            </w:pPr>
            <w:r>
              <w:rPr>
                <w:rFonts w:eastAsia="Calibri" w:cs="Arial" w:ascii="Arial" w:hAnsi="Arial" w:eastAsiaTheme="minorHAnsi"/>
                <w:color w:val="00000A"/>
                <w:sz w:val="20"/>
                <w:szCs w:val="20"/>
              </w:rPr>
              <w:t>- Aperfeiçoar a avaliação institucional (Setoria) com questões elencadas no PDU;</w:t>
            </w:r>
          </w:p>
          <w:p>
            <w:pPr>
              <w:pStyle w:val="ListParagraph"/>
              <w:spacing w:lineRule="auto" w:line="240" w:before="0" w:after="0"/>
              <w:ind w:left="0" w:hanging="0"/>
              <w:jc w:val="both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</w:tr>
      <w:tr>
        <w:trPr/>
        <w:tc>
          <w:tcPr>
            <w:tcW w:w="288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 xml:space="preserve">2- </w:t>
            </w:r>
            <w:r>
              <w:rPr>
                <w:rFonts w:cs="Arial" w:ascii="Arial" w:hAnsi="Arial"/>
                <w:sz w:val="20"/>
                <w:szCs w:val="20"/>
              </w:rPr>
              <w:t>Modernizar a infraestrutura de TI para suportar as necessidades acadêmicas e administrativas.</w:t>
            </w:r>
          </w:p>
          <w:p>
            <w:pPr>
              <w:pStyle w:val="ListParagraph"/>
              <w:spacing w:lineRule="auto" w:line="240" w:before="0" w:after="0"/>
              <w:ind w:left="0" w:hanging="0"/>
              <w:jc w:val="both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2882" w:type="dxa"/>
            <w:tcBorders/>
            <w:shd w:color="auto" w:fill="auto" w:val="clear"/>
          </w:tcPr>
          <w:p>
            <w:pPr>
              <w:pStyle w:val="Normal"/>
              <w:spacing w:lineRule="auto" w:line="240"/>
              <w:rPr/>
            </w:pPr>
            <w:r>
              <w:rPr>
                <w:rFonts w:eastAsia="Calibri" w:cs="Arial" w:ascii="Arial" w:hAnsi="Arial" w:eastAsiaTheme="minorHAnsi"/>
                <w:color w:val="00000A"/>
                <w:sz w:val="20"/>
                <w:szCs w:val="20"/>
              </w:rPr>
              <w:t>- Identificar demandas da comunidade do CEFD;</w:t>
            </w:r>
          </w:p>
          <w:p>
            <w:pPr>
              <w:pStyle w:val="Normal"/>
              <w:spacing w:lineRule="auto" w:line="240" w:before="0" w:after="200"/>
              <w:rPr/>
            </w:pPr>
            <w:r>
              <w:rPr>
                <w:rFonts w:eastAsia="Calibri" w:cs="Arial" w:ascii="Arial" w:hAnsi="Arial" w:eastAsiaTheme="minorHAnsi"/>
                <w:color w:val="00000A"/>
                <w:sz w:val="20"/>
                <w:szCs w:val="20"/>
              </w:rPr>
              <w:t>- Ampliar o Laboratório de Informática;</w:t>
            </w:r>
          </w:p>
          <w:p>
            <w:pPr>
              <w:pStyle w:val="Normal"/>
              <w:spacing w:lineRule="auto" w:line="240" w:before="0" w:after="200"/>
              <w:rPr/>
            </w:pPr>
            <w:r>
              <w:rPr>
                <w:rFonts w:eastAsia="Calibri" w:cs="Arial" w:ascii="Arial" w:hAnsi="Arial" w:eastAsiaTheme="minorHAnsi"/>
                <w:color w:val="00000A"/>
                <w:sz w:val="20"/>
                <w:szCs w:val="20"/>
              </w:rPr>
              <w:t>- Instalar  Wifi em todo CEFD;</w:t>
            </w:r>
          </w:p>
          <w:p>
            <w:pPr>
              <w:pStyle w:val="Normal"/>
              <w:spacing w:lineRule="auto" w:line="240" w:before="0" w:after="200"/>
              <w:rPr/>
            </w:pPr>
            <w:r>
              <w:rPr>
                <w:rFonts w:eastAsia="Calibri" w:cs="Arial" w:ascii="Arial" w:hAnsi="Arial" w:eastAsiaTheme="minorHAnsi"/>
                <w:color w:val="00000A"/>
                <w:sz w:val="20"/>
                <w:szCs w:val="20"/>
              </w:rPr>
              <w:t>- Investir em Software para atender demandas pedagógicas, inclusive, de edição;</w:t>
            </w:r>
          </w:p>
          <w:p>
            <w:pPr>
              <w:pStyle w:val="Normal"/>
              <w:spacing w:lineRule="auto" w:line="240" w:before="0" w:after="200"/>
              <w:rPr/>
            </w:pPr>
            <w:r>
              <w:rPr>
                <w:rFonts w:eastAsia="Calibri" w:cs="Arial" w:ascii="Arial" w:hAnsi="Arial" w:eastAsiaTheme="minorHAnsi"/>
                <w:color w:val="00000A"/>
                <w:sz w:val="20"/>
                <w:szCs w:val="20"/>
              </w:rPr>
              <w:t>- Estimular o uso;</w:t>
            </w:r>
          </w:p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eastAsia="Calibri" w:cs="Arial" w:ascii="Arial" w:hAnsi="Arial" w:eastAsiaTheme="minorHAnsi"/>
                <w:color w:val="00000A"/>
                <w:sz w:val="20"/>
                <w:szCs w:val="20"/>
              </w:rPr>
              <w:t>-instalar e atualizar recursos audiovisuais em salas de aula</w:t>
            </w:r>
          </w:p>
        </w:tc>
        <w:tc>
          <w:tcPr>
            <w:tcW w:w="2882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>
                <w:rFonts w:eastAsia="Calibri" w:cs="Arial" w:ascii="Arial" w:hAnsi="Arial" w:eastAsiaTheme="minorHAnsi"/>
                <w:color w:val="00000A"/>
                <w:sz w:val="20"/>
                <w:szCs w:val="20"/>
              </w:rPr>
              <w:t>- Aplicação de questionários com perguntas abertas e fechadas;</w:t>
            </w:r>
          </w:p>
          <w:p>
            <w:pPr>
              <w:pStyle w:val="Normal"/>
              <w:spacing w:lineRule="auto" w:line="276" w:before="0" w:after="200"/>
              <w:rPr/>
            </w:pPr>
            <w:r>
              <w:rPr>
                <w:rFonts w:eastAsia="Calibri" w:cs="Arial" w:ascii="Arial" w:hAnsi="Arial" w:eastAsiaTheme="minorHAnsi"/>
                <w:color w:val="00000A"/>
                <w:sz w:val="20"/>
                <w:szCs w:val="20"/>
              </w:rPr>
              <w:t>- Entrevistas;</w:t>
            </w:r>
          </w:p>
          <w:p>
            <w:pPr>
              <w:pStyle w:val="Normal"/>
              <w:spacing w:lineRule="auto" w:line="276" w:before="0" w:after="200"/>
              <w:rPr/>
            </w:pPr>
            <w:r>
              <w:rPr>
                <w:rFonts w:eastAsia="Calibri" w:cs="Arial" w:ascii="Arial" w:hAnsi="Arial" w:eastAsiaTheme="minorHAnsi"/>
                <w:color w:val="00000A"/>
                <w:sz w:val="20"/>
                <w:szCs w:val="20"/>
              </w:rPr>
              <w:t>- Ouvidoria setorial;</w:t>
            </w:r>
          </w:p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eastAsia="Calibri" w:cs="Arial" w:ascii="Arial" w:hAnsi="Arial" w:eastAsiaTheme="minorHAnsi"/>
                <w:color w:val="00000A"/>
                <w:sz w:val="20"/>
                <w:szCs w:val="20"/>
              </w:rPr>
              <w:t>- Aperfeiçoar a avaliação institucional (Setoria) com questões elencadas no PDU.</w:t>
            </w:r>
          </w:p>
        </w:tc>
      </w:tr>
      <w:tr>
        <w:trPr/>
        <w:tc>
          <w:tcPr>
            <w:tcW w:w="288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 xml:space="preserve">3 - </w:t>
            </w:r>
            <w:r>
              <w:rPr>
                <w:rFonts w:cs="Arial" w:ascii="Arial" w:hAnsi="Arial"/>
                <w:sz w:val="20"/>
                <w:szCs w:val="20"/>
              </w:rPr>
              <w:t>Zelar pela melhor aplicação dos recursos públicos, evitando desperdícios, através de aconselhamentos e disponibilização de informações necessárias.</w:t>
            </w:r>
          </w:p>
          <w:p>
            <w:pPr>
              <w:pStyle w:val="ListParagraph"/>
              <w:spacing w:lineRule="auto" w:line="240" w:before="0" w:after="0"/>
              <w:ind w:left="0" w:hanging="0"/>
              <w:jc w:val="both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2882" w:type="dxa"/>
            <w:tcBorders/>
            <w:shd w:color="auto" w:fill="auto" w:val="clear"/>
          </w:tcPr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 xml:space="preserve">- </w:t>
            </w:r>
            <w:r>
              <w:rPr>
                <w:rFonts w:eastAsia="Calibri" w:cs="Arial" w:ascii="Arial" w:hAnsi="Arial" w:eastAsiaTheme="minorHAnsi"/>
                <w:color w:val="00000A"/>
                <w:sz w:val="20"/>
                <w:szCs w:val="20"/>
              </w:rPr>
              <w:t>Investir em conscientização da comunidade do CEFD, utilizando as linguagens multimodais (som, imagem, texto e animação);</w:t>
            </w:r>
          </w:p>
          <w:p>
            <w:pPr>
              <w:pStyle w:val="Normal"/>
              <w:spacing w:lineRule="auto" w:line="240" w:before="0" w:after="200"/>
              <w:rPr/>
            </w:pPr>
            <w:r>
              <w:rPr>
                <w:rFonts w:eastAsia="Calibri" w:cs="Arial" w:ascii="Arial" w:hAnsi="Arial" w:eastAsiaTheme="minorHAnsi"/>
                <w:color w:val="00000A"/>
                <w:sz w:val="20"/>
                <w:szCs w:val="20"/>
              </w:rPr>
              <w:t>- Atualizar, divulgar e aprovar a planilha de execução orçamentária no primeiro e segundo semestres, inclusive no Conselho de Centro;</w:t>
            </w:r>
          </w:p>
          <w:p>
            <w:pPr>
              <w:pStyle w:val="ListParagraph"/>
              <w:spacing w:lineRule="auto" w:line="240" w:before="0" w:after="0"/>
              <w:ind w:left="0" w:hanging="0"/>
              <w:jc w:val="both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2882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200"/>
              <w:rPr/>
            </w:pPr>
            <w:r>
              <w:rPr>
                <w:rFonts w:eastAsia="Calibri" w:cs="Arial" w:ascii="Arial" w:hAnsi="Arial" w:eastAsiaTheme="minorHAnsi"/>
                <w:color w:val="00000A"/>
                <w:sz w:val="20"/>
                <w:szCs w:val="20"/>
              </w:rPr>
              <w:t>- Aplicação de questionários com perguntas abertas e fechadas;</w:t>
            </w:r>
          </w:p>
          <w:p>
            <w:pPr>
              <w:pStyle w:val="Normal"/>
              <w:spacing w:lineRule="auto" w:line="276" w:before="0" w:after="200"/>
              <w:rPr/>
            </w:pPr>
            <w:r>
              <w:rPr>
                <w:rFonts w:eastAsia="Calibri" w:cs="Arial" w:ascii="Arial" w:hAnsi="Arial" w:eastAsiaTheme="minorHAnsi"/>
                <w:color w:val="00000A"/>
                <w:sz w:val="20"/>
                <w:szCs w:val="20"/>
              </w:rPr>
              <w:t>- Entrevistas;</w:t>
            </w:r>
          </w:p>
          <w:p>
            <w:pPr>
              <w:pStyle w:val="Normal"/>
              <w:spacing w:lineRule="auto" w:line="276" w:before="0" w:after="200"/>
              <w:rPr/>
            </w:pPr>
            <w:r>
              <w:rPr>
                <w:rFonts w:eastAsia="Calibri" w:cs="Arial" w:ascii="Arial" w:hAnsi="Arial" w:eastAsiaTheme="minorHAnsi"/>
                <w:color w:val="00000A"/>
                <w:sz w:val="20"/>
                <w:szCs w:val="20"/>
              </w:rPr>
              <w:t>- Ouvidoria setorial;</w:t>
            </w:r>
          </w:p>
          <w:p>
            <w:pPr>
              <w:pStyle w:val="Normal"/>
              <w:spacing w:lineRule="auto" w:line="276" w:before="0" w:after="200"/>
              <w:rPr/>
            </w:pPr>
            <w:r>
              <w:rPr>
                <w:rFonts w:eastAsia="Calibri" w:cs="Arial" w:ascii="Arial" w:hAnsi="Arial" w:eastAsiaTheme="minorHAnsi"/>
                <w:color w:val="00000A"/>
                <w:sz w:val="20"/>
                <w:szCs w:val="20"/>
              </w:rPr>
              <w:t>- Aperfeiçoar a avaliação institucional (Setoria) com questões elencadas no PDU;</w:t>
            </w:r>
          </w:p>
          <w:p>
            <w:pPr>
              <w:pStyle w:val="ListParagraph"/>
              <w:spacing w:lineRule="auto" w:line="240" w:before="0" w:after="0"/>
              <w:ind w:left="0" w:hanging="0"/>
              <w:jc w:val="both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</w:tr>
      <w:tr>
        <w:trPr/>
        <w:tc>
          <w:tcPr>
            <w:tcW w:w="288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 xml:space="preserve">4- </w:t>
            </w:r>
            <w:r>
              <w:rPr>
                <w:rFonts w:cs="Arial" w:ascii="Arial" w:hAnsi="Arial"/>
                <w:sz w:val="20"/>
                <w:szCs w:val="20"/>
              </w:rPr>
              <w:t>Aprofundar a utilização das tecnologias da informação.</w:t>
            </w:r>
          </w:p>
          <w:p>
            <w:pPr>
              <w:pStyle w:val="ListParagraph"/>
              <w:spacing w:lineRule="auto" w:line="240" w:before="0" w:after="0"/>
              <w:ind w:left="0" w:hanging="0"/>
              <w:jc w:val="both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2882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>
                <w:b w:val="false"/>
                <w:b w:val="false"/>
                <w:bCs w:val="false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- Discutir a temática como pauta de reuniões de Departamento.</w:t>
            </w:r>
          </w:p>
        </w:tc>
        <w:tc>
          <w:tcPr>
            <w:tcW w:w="2882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- Número de ações realizadas em cada Departamento.</w:t>
            </w:r>
          </w:p>
        </w:tc>
      </w:tr>
      <w:tr>
        <w:trPr/>
        <w:tc>
          <w:tcPr>
            <w:tcW w:w="288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 xml:space="preserve">5- </w:t>
            </w:r>
            <w:r>
              <w:rPr>
                <w:rFonts w:cs="Arial" w:ascii="Arial" w:hAnsi="Arial"/>
                <w:sz w:val="20"/>
                <w:szCs w:val="20"/>
              </w:rPr>
              <w:t>Manter atualizada a planilha de execução orçamentária, permitindo que haja transparência na utilização dos recursos e acesso rápido às informações orçamentárias de cada unidade e subunidade do CEFD.</w:t>
            </w:r>
          </w:p>
          <w:p>
            <w:pPr>
              <w:pStyle w:val="ListParagraph"/>
              <w:spacing w:lineRule="auto" w:line="240" w:before="0" w:after="0"/>
              <w:ind w:left="0" w:hanging="0"/>
              <w:jc w:val="both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2882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>
                <w:rFonts w:ascii="Arial" w:hAnsi="Arial" w:cs="Arial"/>
                <w:b/>
                <w:b/>
                <w:sz w:val="20"/>
                <w:szCs w:val="20"/>
                <w:highlight w:val="yellow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-</w:t>
            </w: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 xml:space="preserve"> Realizar reuniões das chefias com  Núcleo Orçamentário do CEFD.</w:t>
            </w:r>
          </w:p>
          <w:p>
            <w:pPr>
              <w:pStyle w:val="ListParagraph"/>
              <w:spacing w:lineRule="auto" w:line="240" w:before="0" w:after="0"/>
              <w:ind w:left="0" w:hanging="0"/>
              <w:jc w:val="both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- Disponiblizar na página do CEFD todas as informações orçamentárias da Unidade.</w:t>
            </w:r>
          </w:p>
        </w:tc>
        <w:tc>
          <w:tcPr>
            <w:tcW w:w="2882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>
                <w:rFonts w:ascii="Arial" w:hAnsi="Arial" w:cs="Arial"/>
                <w:b/>
                <w:b/>
                <w:sz w:val="20"/>
                <w:szCs w:val="20"/>
                <w:highlight w:val="yellow"/>
              </w:rPr>
            </w:pPr>
            <w:r>
              <w:rPr>
                <w:rFonts w:cs="Arial" w:ascii="Arial" w:hAnsi="Arial"/>
                <w:b/>
                <w:sz w:val="20"/>
                <w:szCs w:val="20"/>
                <w:highlight w:val="yellow"/>
              </w:rPr>
            </w:r>
          </w:p>
        </w:tc>
      </w:tr>
    </w:tbl>
    <w:p>
      <w:pPr>
        <w:pStyle w:val="Normal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b/>
          <w:sz w:val="24"/>
          <w:szCs w:val="24"/>
        </w:rPr>
        <w:t>Desenvolvimento Local, Regional e Nacional (D 6)</w:t>
      </w:r>
    </w:p>
    <w:p>
      <w:pPr>
        <w:pStyle w:val="Normal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tbl>
      <w:tblPr>
        <w:tblStyle w:val="Tabelacomgrade"/>
        <w:tblW w:w="8645" w:type="dxa"/>
        <w:jc w:val="left"/>
        <w:tblInd w:w="-15" w:type="dxa"/>
        <w:tblBorders/>
        <w:tblCellMar>
          <w:top w:w="0" w:type="dxa"/>
          <w:left w:w="9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81"/>
        <w:gridCol w:w="2882"/>
        <w:gridCol w:w="2882"/>
      </w:tblGrid>
      <w:tr>
        <w:trPr/>
        <w:tc>
          <w:tcPr>
            <w:tcW w:w="288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OBJETIVOS</w:t>
            </w:r>
          </w:p>
        </w:tc>
        <w:tc>
          <w:tcPr>
            <w:tcW w:w="288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AÇÕES</w:t>
            </w:r>
          </w:p>
        </w:tc>
        <w:tc>
          <w:tcPr>
            <w:tcW w:w="288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INDICADORES</w:t>
            </w:r>
          </w:p>
        </w:tc>
      </w:tr>
      <w:tr>
        <w:trPr/>
        <w:tc>
          <w:tcPr>
            <w:tcW w:w="288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1Identificar e aprofundar ações de pesquisa entre o CEFD com instituições públicas e privadas como academias, ONGS, Clubes, Associações comunitárias, Ligas, Instituições de Ensino, Prefeituras, entre outros.</w:t>
            </w:r>
          </w:p>
          <w:p>
            <w:pPr>
              <w:pStyle w:val="Normal"/>
              <w:spacing w:lineRule="auto" w:line="240" w:before="0" w:after="0"/>
              <w:ind w:left="360" w:hanging="0"/>
              <w:jc w:val="both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288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  <w:t>- Realizar palestras com pessoas da UFSM especializadas no desenvolvimento de projetos junto a instituições externas a UFSM, públicas e particulares.</w:t>
            </w:r>
          </w:p>
        </w:tc>
        <w:tc>
          <w:tcPr>
            <w:tcW w:w="288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  <w:t>- Número de ações e projetos desenvolvidos junto a instituições externas a UFSM.</w:t>
            </w:r>
          </w:p>
        </w:tc>
      </w:tr>
      <w:tr>
        <w:trPr/>
        <w:tc>
          <w:tcPr>
            <w:tcW w:w="288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0"/>
                <w:szCs w:val="20"/>
              </w:rPr>
              <w:t>2 Identificar, construir e manter relações com lideranças locais e regionais, buscando aproximar a Universidade e os diferentes segmentos da sociedade.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2882" w:type="dxa"/>
            <w:tcBorders/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 xml:space="preserve">- </w:t>
            </w:r>
            <w:r>
              <w:rPr>
                <w:rFonts w:cs="Arial" w:ascii="Arial" w:hAnsi="Arial"/>
                <w:sz w:val="20"/>
                <w:szCs w:val="20"/>
              </w:rPr>
              <w:t>Promover fóruns de discussão (período de, no mínimo, cinco anos) com diversos segmentos e entidades da sociedade local e regional sobre Educação Física, esporte, dança, qualidade de vida e outros temas afins à atuação do CEFD.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2882" w:type="dxa"/>
            <w:tcBorders/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-</w:t>
            </w:r>
            <w:r>
              <w:rPr>
                <w:rFonts w:cs="Arial" w:ascii="Arial" w:hAnsi="Arial"/>
                <w:sz w:val="20"/>
                <w:szCs w:val="20"/>
              </w:rPr>
              <w:t xml:space="preserve"> Número, natureza (tipo) e origem (abrangência geográfica) dos segmentos e entidades participantes.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</w:tr>
      <w:tr>
        <w:trPr/>
        <w:tc>
          <w:tcPr>
            <w:tcW w:w="288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 xml:space="preserve">3- </w:t>
            </w:r>
            <w:r>
              <w:rPr>
                <w:rFonts w:cs="Arial" w:ascii="Arial" w:hAnsi="Arial"/>
                <w:sz w:val="20"/>
                <w:szCs w:val="20"/>
              </w:rPr>
              <w:t>Fomentar o planejamento e a realização de eventos que visem o compartilhar de saberes entre as diferentes áreas do CEFD a partir do ensino, da pesquisa e da extensão: esportivos, artísticos e culturais.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2882" w:type="dxa"/>
            <w:tcBorders/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-Promover eventos científicos, esportivos e culturais em parceria com as prefeituras dos municípios da região central do RS, com Secretarias Estaduais (Esporte, Saúde, Educação) e com outras instituições de ensino de Dança e Educação Física.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2882" w:type="dxa"/>
            <w:tcBorders/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-</w:t>
            </w:r>
            <w:r>
              <w:rPr>
                <w:rFonts w:cs="Arial" w:ascii="Arial" w:hAnsi="Arial"/>
                <w:sz w:val="20"/>
                <w:szCs w:val="20"/>
              </w:rPr>
              <w:t>Relação das parcerias existentes (convênios, acordos de cooperação), fortalecimento das mesmas, através de novas ações e abertura de novas parcerias.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</w:tr>
      <w:tr>
        <w:trPr/>
        <w:tc>
          <w:tcPr>
            <w:tcW w:w="2881" w:type="dxa"/>
            <w:tcBorders/>
            <w:shd w:color="auto" w:fill="auto" w:val="clear"/>
          </w:tcPr>
          <w:p>
            <w:pPr>
              <w:pStyle w:val="Standard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 xml:space="preserve">4 </w:t>
            </w:r>
            <w:r>
              <w:rPr>
                <w:rFonts w:cs="Arial" w:ascii="Arial" w:hAnsi="Arial"/>
                <w:color w:val="1D2228"/>
                <w:sz w:val="20"/>
                <w:szCs w:val="20"/>
              </w:rPr>
              <w:t>Trabalhar pela reabertura dos diversos projetos e ações voltados para a comunidade, que foram desativados com o fim da ADUFSM.</w:t>
            </w:r>
          </w:p>
          <w:p>
            <w:pPr>
              <w:pStyle w:val="Normal"/>
              <w:spacing w:before="0" w:after="0"/>
              <w:jc w:val="both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2882" w:type="dxa"/>
            <w:tcBorders/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- Elaborar a política de extensão do CEFD.</w:t>
            </w:r>
          </w:p>
          <w:p>
            <w:pPr>
              <w:pStyle w:val="Normal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-Estudo técnico, orçamentário e jurídico para avaliar a viabilidade da reabertura, quais atividades podem ser reabertas e a forma de gestão/execução das mesmas.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288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- Origem e número dos participantes atendidos pelas ações da ADUFSM.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- Origem e número de participantes atendidos pelas novas ações.</w:t>
            </w:r>
          </w:p>
        </w:tc>
      </w:tr>
      <w:tr>
        <w:trPr/>
        <w:tc>
          <w:tcPr>
            <w:tcW w:w="288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 xml:space="preserve">5- </w:t>
            </w:r>
            <w:r>
              <w:rPr>
                <w:rFonts w:cs="Arial" w:ascii="Arial" w:hAnsi="Arial"/>
                <w:sz w:val="20"/>
                <w:szCs w:val="20"/>
              </w:rPr>
              <w:t>Incentivar a participação das equipes esportivas e grupos e Companhias de Dança em eventos nacionais.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2882" w:type="dxa"/>
            <w:tcBorders/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- Implantação de uma subunidade, no CEFD, encarregada do gerenciamento das equipes e companhias.</w:t>
            </w:r>
          </w:p>
          <w:p>
            <w:pPr>
              <w:pStyle w:val="Normal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- Contratação de servidores especializados (técnicos-desportivos e bailarinos).</w:t>
            </w:r>
          </w:p>
          <w:p>
            <w:pPr>
              <w:pStyle w:val="Normal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- Dotação orçamentária para custeio das equipes e companhias.</w:t>
            </w:r>
          </w:p>
          <w:p>
            <w:pPr>
              <w:pStyle w:val="Normal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- Melhoria da estrutura física e dos recursos materiais necessários para a manutenção e treinamento das equipes e companhias.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2882" w:type="dxa"/>
            <w:tcBorders/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 xml:space="preserve">- </w:t>
            </w:r>
            <w:r>
              <w:rPr>
                <w:rFonts w:cs="Arial" w:ascii="Arial" w:hAnsi="Arial"/>
                <w:sz w:val="20"/>
                <w:szCs w:val="20"/>
              </w:rPr>
              <w:t>Número de participações em eventos nacionais; qualificação dos eventos; visibilidade midiática das equipes e companhias; abrangência populacional participante das equipes e companhias.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</w:tr>
    </w:tbl>
    <w:p>
      <w:pPr>
        <w:pStyle w:val="Normal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  <w:sz w:val="24"/>
          <w:szCs w:val="24"/>
        </w:rPr>
        <w:t>Gestão Ambiental (D7)</w:t>
      </w:r>
    </w:p>
    <w:p>
      <w:pPr>
        <w:pStyle w:val="Normal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tbl>
      <w:tblPr>
        <w:tblStyle w:val="Tabelacomgrade"/>
        <w:tblW w:w="8645" w:type="dxa"/>
        <w:jc w:val="left"/>
        <w:tblInd w:w="-15" w:type="dxa"/>
        <w:tblBorders/>
        <w:tblCellMar>
          <w:top w:w="0" w:type="dxa"/>
          <w:left w:w="9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81"/>
        <w:gridCol w:w="2882"/>
        <w:gridCol w:w="2882"/>
      </w:tblGrid>
      <w:tr>
        <w:trPr/>
        <w:tc>
          <w:tcPr>
            <w:tcW w:w="288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OBJETIVOS</w:t>
            </w:r>
          </w:p>
        </w:tc>
        <w:tc>
          <w:tcPr>
            <w:tcW w:w="288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AÇÕES</w:t>
            </w:r>
          </w:p>
        </w:tc>
        <w:tc>
          <w:tcPr>
            <w:tcW w:w="288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INDICADORES</w:t>
            </w:r>
          </w:p>
        </w:tc>
      </w:tr>
      <w:tr>
        <w:trPr/>
        <w:tc>
          <w:tcPr>
            <w:tcW w:w="288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1Estimular o desenvolvimento da cultura organizacional voltada para a sustentabilidade e institucionalização e divulgação das ações e práticas atualmente desenvolvidas.</w:t>
            </w:r>
          </w:p>
          <w:p>
            <w:pPr>
              <w:pStyle w:val="ListParagraph"/>
              <w:spacing w:lineRule="auto" w:line="240" w:before="0" w:after="0"/>
              <w:jc w:val="both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2882" w:type="dxa"/>
            <w:tcBorders/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 xml:space="preserve">- </w:t>
            </w:r>
            <w:r>
              <w:rPr>
                <w:rFonts w:eastAsia="SimSun" w:cs="Arial" w:ascii="Arial" w:hAnsi="Arial"/>
                <w:color w:val="000000"/>
                <w:sz w:val="20"/>
                <w:szCs w:val="20"/>
                <w:lang w:eastAsia="zh-CN" w:bidi="hi-IN"/>
              </w:rPr>
              <w:t>Promover Campanhas educativas e de conscientização próprias do CEFD, bem como adesão nas da UFSM.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SimSun" w:cs="Arial"/>
                <w:color w:val="000000"/>
                <w:sz w:val="20"/>
                <w:szCs w:val="20"/>
                <w:lang w:eastAsia="zh-CN" w:bidi="hi-IN"/>
              </w:rPr>
            </w:pPr>
            <w:r>
              <w:rPr>
                <w:rFonts w:eastAsia="SimSun" w:cs="Arial" w:ascii="Arial" w:hAnsi="Arial"/>
                <w:color w:val="000000"/>
                <w:sz w:val="20"/>
                <w:szCs w:val="20"/>
                <w:lang w:eastAsia="zh-CN" w:bidi="hi-IN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2882" w:type="dxa"/>
            <w:tcBorders/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 xml:space="preserve">- </w:t>
            </w:r>
            <w:r>
              <w:rPr>
                <w:rFonts w:eastAsia="SimSun" w:cs="Arial" w:ascii="Arial" w:hAnsi="Arial"/>
                <w:color w:val="000000"/>
                <w:sz w:val="20"/>
                <w:szCs w:val="20"/>
                <w:lang w:eastAsia="zh-CN" w:bidi="hi-IN"/>
              </w:rPr>
              <w:t>Estudo e viabilidade de placas solares em reformas e novas obras.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SimSun" w:cs="Arial" w:ascii="Arial" w:hAnsi="Arial"/>
                <w:color w:val="000000"/>
                <w:sz w:val="20"/>
                <w:szCs w:val="20"/>
                <w:lang w:eastAsia="zh-CN" w:bidi="hi-IN"/>
              </w:rPr>
              <w:t>- Monitoramento e repasse desses dados quanto ao consumo de água e energias elétrica.</w:t>
            </w:r>
          </w:p>
        </w:tc>
      </w:tr>
      <w:tr>
        <w:trPr/>
        <w:tc>
          <w:tcPr>
            <w:tcW w:w="2881" w:type="dxa"/>
            <w:tcBorders/>
            <w:shd w:color="auto"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 xml:space="preserve">2 </w:t>
            </w:r>
            <w:r>
              <w:rPr>
                <w:rFonts w:eastAsia="Times New Roman" w:cs="Arial" w:ascii="Arial" w:hAnsi="Arial"/>
                <w:color w:val="222222"/>
                <w:sz w:val="20"/>
                <w:szCs w:val="20"/>
                <w:lang w:eastAsia="pt-BR"/>
              </w:rPr>
              <w:t>Diminuir o consumo de materiais que agridam o meio ambiente.</w:t>
            </w:r>
          </w:p>
          <w:p>
            <w:pPr>
              <w:pStyle w:val="Normal"/>
              <w:tabs>
                <w:tab w:val="left" w:pos="705" w:leader="none"/>
              </w:tabs>
              <w:spacing w:lineRule="auto" w:line="240" w:before="0" w:after="0"/>
              <w:jc w:val="both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288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-</w:t>
            </w:r>
            <w:r>
              <w:rPr>
                <w:rFonts w:cs="Arial" w:ascii="Arial" w:hAnsi="Arial"/>
                <w:color w:val="00000A"/>
                <w:sz w:val="20"/>
                <w:szCs w:val="20"/>
              </w:rPr>
              <w:t>Presentear cada docente e TAE com uma xicara com seu nome para ser usada abolindo a compra de copos plásticos.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  <w:t>-Uso exclusivo de meios eletrônicos e virtuais em comunicações oficiais do CEFD e nas aulas, evitando-se ao máximo o uso de papel.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  <w:t>-Realizar campanha de conscientização dos discentes sobre a produção excessiva de lixo e manutenção das salas de aula limpas.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- Adequação ao Edital da Lancheria: tentar incluir medidas de controle do uso de descartáveis.</w:t>
            </w:r>
          </w:p>
        </w:tc>
        <w:tc>
          <w:tcPr>
            <w:tcW w:w="288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-</w:t>
            </w:r>
            <w:r>
              <w:rPr>
                <w:rFonts w:cs="Arial" w:ascii="Arial" w:hAnsi="Arial"/>
                <w:color w:val="00000A"/>
                <w:sz w:val="20"/>
                <w:szCs w:val="20"/>
              </w:rPr>
              <w:t>Proibição da compra de copos de plástico (salvo eventos).</w:t>
            </w:r>
          </w:p>
          <w:p>
            <w:pPr>
              <w:pStyle w:val="Normal"/>
              <w:jc w:val="both"/>
              <w:rPr/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  <w:t>-Diminuição da compra de pacotes de folhas de oficio não reciclado.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SimSun" w:cs="Arial" w:ascii="Arial" w:hAnsi="Arial"/>
                <w:color w:val="000000"/>
                <w:sz w:val="20"/>
                <w:szCs w:val="20"/>
                <w:lang w:eastAsia="zh-CN" w:bidi="hi-IN"/>
              </w:rPr>
              <w:t>- Recolhimento e/ou doações pelo setor de Patrimônio.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</w:tr>
      <w:tr>
        <w:trPr/>
        <w:tc>
          <w:tcPr>
            <w:tcW w:w="288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 xml:space="preserve">3 </w:t>
            </w:r>
            <w:r>
              <w:rPr>
                <w:rFonts w:cs="Arial" w:ascii="Arial" w:hAnsi="Arial"/>
                <w:sz w:val="20"/>
                <w:szCs w:val="20"/>
              </w:rPr>
              <w:t>Estimular a realização de práticas corporais e esportivas relacionadas ao Meio Ambiente, Ecologia, Saúde Ambiental, Sustentabilidade em ações de Ensino, Pesquisa e Extensão.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2882" w:type="dxa"/>
            <w:tcBorders/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 xml:space="preserve">- </w:t>
            </w:r>
            <w:r>
              <w:rPr>
                <w:rFonts w:eastAsia="SimSun" w:cs="Arial" w:ascii="Arial" w:hAnsi="Arial"/>
                <w:color w:val="000000"/>
                <w:sz w:val="20"/>
                <w:szCs w:val="20"/>
                <w:lang w:eastAsia="zh-CN" w:bidi="hi-IN"/>
              </w:rPr>
              <w:t>Práticas corporais utilizando a área de natureza da UFSM.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SimSun" w:cs="Arial" w:ascii="Arial" w:hAnsi="Arial"/>
                <w:color w:val="000000"/>
                <w:sz w:val="20"/>
                <w:szCs w:val="20"/>
                <w:lang w:eastAsia="zh-CN" w:bidi="hi-IN"/>
              </w:rPr>
              <w:t>- Eventos Eco esportivos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SimSun" w:cs="Arial" w:ascii="Arial" w:hAnsi="Arial"/>
                <w:color w:val="000000"/>
                <w:sz w:val="20"/>
                <w:szCs w:val="20"/>
                <w:lang w:eastAsia="zh-CN" w:bidi="hi-IN"/>
              </w:rPr>
              <w:t>- Construção e viabilidade de espaços e acesso para as atividades.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SimSun" w:cs="Arial" w:ascii="Arial" w:hAnsi="Arial"/>
                <w:color w:val="000000"/>
                <w:sz w:val="20"/>
                <w:szCs w:val="20"/>
                <w:lang w:eastAsia="zh-CN" w:bidi="hi-IN"/>
              </w:rPr>
              <w:t>-Projetos atrativos e modernos.</w:t>
            </w:r>
          </w:p>
        </w:tc>
        <w:tc>
          <w:tcPr>
            <w:tcW w:w="288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SimSun" w:cs="Arial" w:ascii="Arial" w:hAnsi="Arial"/>
                <w:color w:val="000000"/>
                <w:sz w:val="20"/>
                <w:szCs w:val="20"/>
                <w:lang w:eastAsia="zh-CN" w:bidi="hi-IN"/>
              </w:rPr>
              <w:t>- Quantificar o número de ações e participantes na proposta. Aumentar a cada etapa os participantes e desenvolvedores.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SimSun" w:cs="Arial" w:ascii="Arial" w:hAnsi="Arial"/>
                <w:color w:val="000000"/>
                <w:sz w:val="20"/>
                <w:szCs w:val="20"/>
                <w:lang w:eastAsia="zh-CN" w:bidi="hi-IN"/>
              </w:rPr>
              <w:t>- Diversificar e acolher o maior quantitativo possível de comunidade externa.</w:t>
            </w:r>
          </w:p>
        </w:tc>
      </w:tr>
      <w:tr>
        <w:trPr/>
        <w:tc>
          <w:tcPr>
            <w:tcW w:w="288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 xml:space="preserve">4 </w:t>
            </w:r>
            <w:r>
              <w:rPr>
                <w:rFonts w:cs="Arial" w:ascii="Arial" w:hAnsi="Arial"/>
                <w:sz w:val="20"/>
                <w:szCs w:val="20"/>
              </w:rPr>
              <w:t>Proporcionar a ampliação e institucionalização dos projetos voltados para a racionalização dos usos dos recursos naturais e conscientização sobre práticas sustentáveis.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2882" w:type="dxa"/>
            <w:tcBorders/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 xml:space="preserve">- </w:t>
            </w:r>
            <w:r>
              <w:rPr>
                <w:rFonts w:eastAsia="SimSun" w:cs="Arial" w:ascii="Arial" w:hAnsi="Arial"/>
                <w:color w:val="000000"/>
                <w:sz w:val="20"/>
                <w:szCs w:val="20"/>
                <w:lang w:eastAsia="zh-CN" w:bidi="hi-IN"/>
              </w:rPr>
              <w:t>Adicionar a criação de práticas em gestão ambiental nos eventos do CEFD.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SimSun" w:cs="Arial" w:ascii="Arial" w:hAnsi="Arial"/>
                <w:color w:val="000000"/>
                <w:sz w:val="20"/>
                <w:szCs w:val="20"/>
                <w:lang w:eastAsia="zh-CN" w:bidi="hi-IN"/>
              </w:rPr>
              <w:t>- Ao registrar projetos de ensino, pesquisa e extensão, viabilizar o maior número de ações de controle ambiental.</w:t>
            </w:r>
          </w:p>
        </w:tc>
        <w:tc>
          <w:tcPr>
            <w:tcW w:w="288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SimSun" w:cs="Arial" w:ascii="Arial" w:hAnsi="Arial"/>
                <w:color w:val="000000"/>
                <w:sz w:val="20"/>
                <w:szCs w:val="20"/>
                <w:lang w:eastAsia="zh-CN" w:bidi="hi-IN"/>
              </w:rPr>
              <w:t>- Sensor de presença nos corredores, diminuindo o número de lâmpadas acesas.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SimSun" w:cs="Arial" w:ascii="Arial" w:hAnsi="Arial"/>
                <w:color w:val="000000"/>
                <w:sz w:val="20"/>
                <w:szCs w:val="20"/>
                <w:lang w:eastAsia="zh-CN" w:bidi="hi-IN"/>
              </w:rPr>
              <w:t>- Aquecimento dos chuveiros do complexo de piscina por aquecimento via caldeiras.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SimSun" w:cs="Arial" w:ascii="Arial" w:hAnsi="Arial"/>
                <w:color w:val="000000"/>
                <w:sz w:val="20"/>
                <w:szCs w:val="20"/>
                <w:lang w:eastAsia="zh-CN" w:bidi="hi-IN"/>
              </w:rPr>
              <w:t>-Mural para comunicações dos setores (substituir os cartazes).</w:t>
            </w:r>
          </w:p>
        </w:tc>
      </w:tr>
      <w:tr>
        <w:trPr/>
        <w:tc>
          <w:tcPr>
            <w:tcW w:w="2881" w:type="dxa"/>
            <w:tcBorders/>
            <w:shd w:color="auto" w:fill="auto" w:val="clear"/>
          </w:tcPr>
          <w:p>
            <w:pPr>
              <w:pStyle w:val="Standard"/>
              <w:widowControl w:val="false"/>
              <w:tabs>
                <w:tab w:val="left" w:pos="720" w:leader="none"/>
              </w:tabs>
              <w:spacing w:lineRule="auto" w:line="240"/>
              <w:jc w:val="both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 xml:space="preserve">5 </w:t>
            </w:r>
            <w:r>
              <w:rPr>
                <w:rFonts w:cs="Arial" w:ascii="Arial" w:hAnsi="Arial"/>
                <w:color w:val="1D2228"/>
                <w:sz w:val="20"/>
                <w:szCs w:val="20"/>
              </w:rPr>
              <w:t>Incentivar o bom uso dos materiais, equipamentos e estrutura do CEFD.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288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b/>
                <w:color w:val="FF0000"/>
                <w:sz w:val="20"/>
                <w:szCs w:val="20"/>
              </w:rPr>
              <w:t xml:space="preserve">- </w:t>
            </w:r>
            <w:r>
              <w:rPr>
                <w:rFonts w:cs="Arial" w:ascii="Arial" w:hAnsi="Arial"/>
                <w:color w:val="00000A"/>
                <w:sz w:val="20"/>
                <w:szCs w:val="20"/>
              </w:rPr>
              <w:t>Realizar campanhas de conscientização sobre o bom uso e a manutenção dos materiais, equipamentos e estrutura do CEFD.</w:t>
            </w:r>
            <w:r>
              <w:rPr>
                <w:rFonts w:cs="Arial" w:ascii="Arial" w:hAnsi="Arial"/>
                <w:b/>
                <w:color w:val="00000A"/>
                <w:sz w:val="20"/>
                <w:szCs w:val="20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SimSun" w:cs="Arial" w:ascii="Arial" w:hAnsi="Arial"/>
                <w:b/>
                <w:color w:val="000000"/>
                <w:sz w:val="20"/>
                <w:szCs w:val="20"/>
                <w:lang w:eastAsia="zh-CN" w:bidi="hi-IN"/>
              </w:rPr>
              <w:t xml:space="preserve">- </w:t>
            </w:r>
            <w:r>
              <w:rPr>
                <w:rFonts w:eastAsia="SimSun" w:cs="Arial" w:ascii="Arial" w:hAnsi="Arial"/>
                <w:color w:val="000000"/>
                <w:sz w:val="20"/>
                <w:szCs w:val="20"/>
                <w:lang w:eastAsia="zh-CN" w:bidi="hi-IN"/>
              </w:rPr>
              <w:t>Sinalização de cada ambiente: formas de uso, proibições, especificações. Ex: tatames, quadra de tênis, etc.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SimSun" w:cs="Arial" w:ascii="Arial" w:hAnsi="Arial"/>
                <w:color w:val="000000"/>
                <w:sz w:val="20"/>
                <w:szCs w:val="20"/>
                <w:lang w:eastAsia="zh-CN" w:bidi="hi-IN"/>
              </w:rPr>
              <w:t>- Conserto/substituição itens</w:t>
            </w:r>
          </w:p>
        </w:tc>
        <w:tc>
          <w:tcPr>
            <w:tcW w:w="2882" w:type="dxa"/>
            <w:tcBorders/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 xml:space="preserve">- </w:t>
            </w:r>
            <w:r>
              <w:rPr>
                <w:rFonts w:eastAsia="SimSun" w:cs="Arial" w:ascii="Arial" w:hAnsi="Arial"/>
                <w:color w:val="000000"/>
                <w:sz w:val="20"/>
                <w:szCs w:val="20"/>
                <w:lang w:eastAsia="zh-CN" w:bidi="hi-IN"/>
              </w:rPr>
              <w:t>Quantificar quantos itens estavam estragados, por quantos substituídos bem como o tempo de durabilidade até manutenção.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SimSun" w:cs="Arial" w:ascii="Arial" w:hAnsi="Arial"/>
                <w:color w:val="000000"/>
                <w:sz w:val="20"/>
                <w:szCs w:val="20"/>
                <w:lang w:eastAsia="zh-CN" w:bidi="hi-IN"/>
              </w:rPr>
              <w:t xml:space="preserve">- Divulgar de forma ampla esses dados. 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widowControl w:val="false"/>
        <w:tabs>
          <w:tab w:val="left" w:pos="720" w:leader="none"/>
        </w:tabs>
        <w:spacing w:lineRule="auto" w:line="360" w:before="0" w:after="160"/>
        <w:ind w:left="786" w:hanging="0"/>
        <w:jc w:val="both"/>
        <w:rPr>
          <w:rFonts w:ascii="Arial" w:hAnsi="Arial" w:cs="Arial"/>
          <w:color w:val="000000"/>
          <w:highlight w:val="yellow"/>
        </w:rPr>
      </w:pPr>
      <w:r>
        <w:rPr>
          <w:rFonts w:cs="Arial" w:ascii="Arial" w:hAnsi="Arial"/>
          <w:color w:val="000000"/>
          <w:highlight w:val="yellow"/>
        </w:rPr>
      </w:r>
    </w:p>
    <w:p>
      <w:pPr>
        <w:pStyle w:val="Normal"/>
        <w:widowControl w:val="false"/>
        <w:tabs>
          <w:tab w:val="left" w:pos="720" w:leader="none"/>
        </w:tabs>
        <w:spacing w:lineRule="auto" w:line="360" w:before="0" w:after="160"/>
        <w:ind w:left="786" w:hanging="0"/>
        <w:jc w:val="both"/>
        <w:rPr>
          <w:rFonts w:ascii="Arial" w:hAnsi="Arial" w:cs="Arial"/>
          <w:color w:val="000000"/>
          <w:highlight w:val="yellow"/>
        </w:rPr>
      </w:pPr>
      <w:r>
        <w:rPr>
          <w:rFonts w:cs="Arial" w:ascii="Arial" w:hAnsi="Arial"/>
          <w:color w:val="000000"/>
          <w:highlight w:val="yellow"/>
        </w:rPr>
      </w:r>
    </w:p>
    <w:p>
      <w:pPr>
        <w:pStyle w:val="Normal"/>
        <w:widowControl w:val="false"/>
        <w:tabs>
          <w:tab w:val="left" w:pos="720" w:leader="none"/>
        </w:tabs>
        <w:spacing w:lineRule="auto" w:line="360" w:before="0" w:after="160"/>
        <w:ind w:left="786" w:hanging="0"/>
        <w:jc w:val="both"/>
        <w:rPr>
          <w:rFonts w:ascii="Arial" w:hAnsi="Arial" w:cs="Arial"/>
          <w:color w:val="000000"/>
          <w:highlight w:val="yellow"/>
        </w:rPr>
      </w:pPr>
      <w:r>
        <w:rPr>
          <w:rFonts w:cs="Arial" w:ascii="Arial" w:hAnsi="Arial"/>
          <w:color w:val="000000"/>
          <w:highlight w:val="yellow"/>
        </w:rPr>
      </w:r>
    </w:p>
    <w:p>
      <w:pPr>
        <w:pStyle w:val="Normal"/>
        <w:widowControl w:val="false"/>
        <w:tabs>
          <w:tab w:val="left" w:pos="720" w:leader="none"/>
        </w:tabs>
        <w:spacing w:lineRule="auto" w:line="360" w:before="0" w:after="160"/>
        <w:ind w:left="786" w:hanging="0"/>
        <w:jc w:val="both"/>
        <w:rPr>
          <w:rFonts w:ascii="Arial" w:hAnsi="Arial" w:cs="Arial"/>
          <w:color w:val="000000"/>
          <w:highlight w:val="yellow"/>
        </w:rPr>
      </w:pPr>
      <w:r>
        <w:rPr>
          <w:rFonts w:cs="Arial" w:ascii="Arial" w:hAnsi="Arial"/>
          <w:color w:val="000000"/>
          <w:highlight w:val="yellow"/>
        </w:rPr>
      </w:r>
    </w:p>
    <w:p>
      <w:pPr>
        <w:pStyle w:val="Normal"/>
        <w:widowControl w:val="false"/>
        <w:tabs>
          <w:tab w:val="left" w:pos="720" w:leader="none"/>
        </w:tabs>
        <w:spacing w:lineRule="auto" w:line="360" w:before="0" w:after="160"/>
        <w:ind w:left="786" w:hanging="0"/>
        <w:jc w:val="both"/>
        <w:rPr>
          <w:rFonts w:ascii="Arial" w:hAnsi="Arial" w:cs="Arial"/>
          <w:color w:val="000000"/>
          <w:highlight w:val="yellow"/>
        </w:rPr>
      </w:pPr>
      <w:r>
        <w:rPr>
          <w:rFonts w:cs="Arial" w:ascii="Arial" w:hAnsi="Arial"/>
          <w:color w:val="000000"/>
          <w:highlight w:val="yellow"/>
        </w:rPr>
      </w:r>
    </w:p>
    <w:p>
      <w:pPr>
        <w:pStyle w:val="Normal"/>
        <w:widowControl w:val="false"/>
        <w:tabs>
          <w:tab w:val="left" w:pos="720" w:leader="none"/>
        </w:tabs>
        <w:spacing w:lineRule="auto" w:line="360" w:before="0" w:after="160"/>
        <w:ind w:left="786" w:hanging="0"/>
        <w:jc w:val="both"/>
        <w:rPr>
          <w:rFonts w:ascii="Arial" w:hAnsi="Arial" w:cs="Arial"/>
          <w:color w:val="000000"/>
          <w:highlight w:val="yellow"/>
        </w:rPr>
      </w:pPr>
      <w:r>
        <w:rPr>
          <w:rFonts w:cs="Arial" w:ascii="Arial" w:hAnsi="Arial"/>
          <w:color w:val="000000"/>
          <w:highlight w:val="yellow"/>
        </w:rPr>
      </w:r>
    </w:p>
    <w:p>
      <w:pPr>
        <w:pStyle w:val="Normal"/>
        <w:widowControl w:val="false"/>
        <w:tabs>
          <w:tab w:val="left" w:pos="720" w:leader="none"/>
        </w:tabs>
        <w:spacing w:lineRule="auto" w:line="360" w:before="0" w:after="160"/>
        <w:ind w:left="786" w:hanging="0"/>
        <w:jc w:val="both"/>
        <w:rPr/>
      </w:pPr>
      <w:r>
        <w:rPr>
          <w:rFonts w:cs="Arial" w:ascii="Arial" w:hAnsi="Arial"/>
          <w:b/>
          <w:color w:val="000000"/>
          <w:sz w:val="22"/>
          <w:szCs w:val="22"/>
        </w:rPr>
        <w:t xml:space="preserve">3. Considerações Finais </w:t>
      </w:r>
    </w:p>
    <w:p>
      <w:pPr>
        <w:pStyle w:val="Normal"/>
        <w:widowControl w:val="false"/>
        <w:tabs>
          <w:tab w:val="left" w:pos="720" w:leader="none"/>
        </w:tabs>
        <w:spacing w:lineRule="auto" w:line="360" w:before="0" w:after="160"/>
        <w:ind w:left="786" w:hanging="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bidi w:val="0"/>
        <w:spacing w:lineRule="auto" w:line="360"/>
        <w:ind w:left="0" w:right="0" w:hanging="0"/>
        <w:jc w:val="both"/>
        <w:rPr/>
      </w:pP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ab/>
        <w:t xml:space="preserve">A tarefa de elaborar o Plano de Desenvolvimento de Unidade do Centro de Educação Física é, ao mesmo tempo um desafio e um processo complexo. Desafio no sentido de mesmo uma Comissão representativa, formada por diferentes segmentos, pensar os objetivos, metas e indicadores das diferentes subunidades e almejar perspectivas de qualificação e de crescimento foi um exercício constante de ação e reflexão. Processo por se tratar de articular diferentes etapas de um trabalho coletivo como diagnóstico, levantamentos, fragilidades, oportunidades e avaliação. Este plano que orienta e fundamenta as ações do Centro de Educação Físcia e Desportos pelos próximos 10 anos foi construído pelos desejos de diferentes pessoas que convivem em um mesmo contexto. </w:t>
      </w:r>
    </w:p>
    <w:p>
      <w:pPr>
        <w:pStyle w:val="Normal"/>
        <w:bidi w:val="0"/>
        <w:spacing w:lineRule="auto" w:line="360"/>
        <w:ind w:left="0" w:right="0" w:hanging="0"/>
        <w:jc w:val="both"/>
        <w:rPr/>
      </w:pP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ab/>
        <w:t>Mais do que um documento, foi um espaço para pensar sobre o papel reservado às áreas da Educação Física, Gerontologia e Dança na UFSM e na nossa sociedade. O diagnóstico inicial permitiu identificar aqueles aspectos que são considerados pontos fortes e pontos fracos, assim como àquelas questões que podem significar risco às atividades atualmente desenvolvidas ou as oportunidades que são vislumbradas para o futuro.</w:t>
      </w:r>
    </w:p>
    <w:p>
      <w:pPr>
        <w:pStyle w:val="Normal"/>
        <w:bidi w:val="0"/>
        <w:spacing w:lineRule="auto" w:line="360"/>
        <w:ind w:left="0" w:right="0" w:hanging="0"/>
        <w:jc w:val="both"/>
        <w:rPr/>
      </w:pP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ab/>
        <w:t xml:space="preserve">A proposição de objetivos, assim como a sua priorização permitiu que a comunidade do CEFD apontasse aquilo que considera mais urgente e importante. Assim, os esforços podem ser concentrados, com a expectativa de melhores resultados e mais aparentes. As ações indicam aquilo que o CEFD deve executar, com o foco em atingir os seus objetivos pré-determinados. Por fim, os indicadores permitem mensurar o trabalho a ser realizado. </w:t>
      </w:r>
    </w:p>
    <w:p>
      <w:pPr>
        <w:pStyle w:val="Normal"/>
        <w:bidi w:val="0"/>
        <w:spacing w:lineRule="auto" w:line="360"/>
        <w:ind w:left="0" w:right="0" w:hanging="0"/>
        <w:jc w:val="both"/>
        <w:rPr/>
      </w:pP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ab/>
        <w:t xml:space="preserve">Ao longo da construção do PDU, os envolvidos no processo levantaram diversos questionamentos sobre os caminhos a serem seguidos nas diversas atividades desenvolvidas no CEFD. O processo de planejamento estratégico institucional não se esgota na apresentação deste documento. Pelo contrário, apenas se inaugura a fase de implantação do plano de ações. Para tanto, é fundamental ter-se a clareza que as ações derivadas do PDU podem ser priorizadas na esteira dos fluxos de processos do CEFD e cursos de acordo com os recursos disponíveis e urgência dos impactos positivos almejados. </w:t>
      </w:r>
    </w:p>
    <w:p>
      <w:pPr>
        <w:pStyle w:val="Normal"/>
        <w:bidi w:val="0"/>
        <w:spacing w:lineRule="auto" w:line="360"/>
        <w:ind w:left="0" w:right="0" w:hanging="0"/>
        <w:jc w:val="both"/>
        <w:rPr>
          <w:rFonts w:ascii="Arial" w:hAnsi="Arial" w:eastAsia="Times New Roman" w:cs="Arial"/>
          <w:color w:val="000000"/>
          <w:sz w:val="24"/>
          <w:szCs w:val="24"/>
          <w:lang w:eastAsia="pt-BR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ab/>
        <w:t>Observe-se, também, que alguns indicadores já poderão apresentar dados cujos resultados já são positivos em relação às ações propostas. Nestes casos, é indispensável que se interprete que as ações propostas já estão em andamento e já geram resultados positivos. Sendo assim, apenas, é necessário mantê-las em andamento e manter o seu monitoramento.</w:t>
      </w:r>
    </w:p>
    <w:p>
      <w:pPr>
        <w:pStyle w:val="Normal"/>
        <w:spacing w:lineRule="auto" w:line="360"/>
        <w:ind w:left="0" w:right="0" w:firstLine="720"/>
        <w:jc w:val="both"/>
        <w:rPr>
          <w:rFonts w:ascii="Arial" w:hAnsi="Arial" w:eastAsia="Times New Roman" w:cs="Arial"/>
          <w:color w:val="000000"/>
          <w:sz w:val="24"/>
          <w:szCs w:val="24"/>
          <w:lang w:eastAsia="pt-BR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>Assim, em resumo, os responsáveis pela execução das ações deverão ponderar sobre:</w:t>
      </w:r>
    </w:p>
    <w:p>
      <w:pPr>
        <w:pStyle w:val="Normal"/>
        <w:numPr>
          <w:ilvl w:val="0"/>
          <w:numId w:val="0"/>
        </w:numPr>
        <w:spacing w:lineRule="auto" w:line="360"/>
        <w:ind w:left="0" w:right="0" w:hanging="0"/>
        <w:jc w:val="both"/>
        <w:textAlignment w:val="baseline"/>
        <w:rPr/>
      </w:pP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>1) se as ações propostas já tiverem sido implementadas, não é necessário fazer nada mais do que seguir em frente;</w:t>
      </w:r>
    </w:p>
    <w:p>
      <w:pPr>
        <w:pStyle w:val="Normal"/>
        <w:numPr>
          <w:ilvl w:val="0"/>
          <w:numId w:val="0"/>
        </w:numPr>
        <w:spacing w:lineRule="auto" w:line="360"/>
        <w:ind w:left="0" w:right="0" w:hanging="0"/>
        <w:jc w:val="both"/>
        <w:textAlignment w:val="baseline"/>
        <w:rPr/>
      </w:pP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 xml:space="preserve">2) se os indicadores já apresentarem resultados positivos, não é necessário fazer nada mais do que seguir em frente ou é necessário aumentar as metas dos relativos indicadores. </w:t>
      </w:r>
    </w:p>
    <w:p>
      <w:pPr>
        <w:pStyle w:val="Normal"/>
        <w:widowControl w:val="false"/>
        <w:tabs>
          <w:tab w:val="left" w:pos="720" w:leader="none"/>
        </w:tabs>
        <w:bidi w:val="0"/>
        <w:spacing w:lineRule="auto" w:line="360" w:before="0" w:after="200"/>
        <w:ind w:left="0" w:right="0" w:hanging="0"/>
        <w:jc w:val="both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4"/>
          <w:szCs w:val="24"/>
          <w:lang w:eastAsia="pt-BR"/>
        </w:rPr>
        <w:t>3) se os indicadores apresentarem resultados negativos, é necessário implementar a ação proposta ou melhorar o desempenho na ação (caso ela já esteja sendo executada).</w:t>
      </w:r>
    </w:p>
    <w:p>
      <w:pPr>
        <w:pStyle w:val="Normal"/>
        <w:widowControl w:val="false"/>
        <w:tabs>
          <w:tab w:val="left" w:pos="720" w:leader="none"/>
        </w:tabs>
        <w:bidi w:val="0"/>
        <w:spacing w:lineRule="auto" w:line="360" w:before="0" w:after="200"/>
        <w:ind w:left="0" w:right="0" w:hanging="0"/>
        <w:jc w:val="both"/>
        <w:rPr>
          <w:rFonts w:ascii="Arial" w:hAnsi="Arial" w:eastAsia="Times New Roman" w:cs="Arial"/>
          <w:color w:val="000000"/>
          <w:sz w:val="24"/>
          <w:szCs w:val="24"/>
          <w:lang w:eastAsia="pt-BR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</w:r>
    </w:p>
    <w:p>
      <w:pPr>
        <w:pStyle w:val="Normal"/>
        <w:widowControl w:val="false"/>
        <w:tabs>
          <w:tab w:val="left" w:pos="720" w:leader="none"/>
        </w:tabs>
        <w:bidi w:val="0"/>
        <w:spacing w:lineRule="auto" w:line="360" w:before="0" w:after="200"/>
        <w:ind w:left="0" w:right="0" w:hanging="0"/>
        <w:jc w:val="both"/>
        <w:rPr>
          <w:rFonts w:ascii="Arial" w:hAnsi="Arial" w:eastAsia="Times New Roman" w:cs="Arial"/>
          <w:color w:val="000000"/>
          <w:sz w:val="24"/>
          <w:szCs w:val="24"/>
          <w:lang w:eastAsia="pt-BR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</w:r>
    </w:p>
    <w:p>
      <w:pPr>
        <w:pStyle w:val="Normal"/>
        <w:widowControl w:val="false"/>
        <w:tabs>
          <w:tab w:val="left" w:pos="720" w:leader="none"/>
        </w:tabs>
        <w:bidi w:val="0"/>
        <w:spacing w:lineRule="auto" w:line="360" w:before="0" w:after="200"/>
        <w:ind w:left="0" w:right="0" w:hanging="0"/>
        <w:jc w:val="both"/>
        <w:rPr>
          <w:rFonts w:ascii="Arial" w:hAnsi="Arial" w:eastAsia="Times New Roman" w:cs="Arial"/>
          <w:color w:val="000000"/>
          <w:sz w:val="24"/>
          <w:szCs w:val="24"/>
          <w:lang w:eastAsia="pt-BR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</w:r>
    </w:p>
    <w:p>
      <w:pPr>
        <w:pStyle w:val="Normal"/>
        <w:widowControl w:val="false"/>
        <w:tabs>
          <w:tab w:val="left" w:pos="720" w:leader="none"/>
        </w:tabs>
        <w:bidi w:val="0"/>
        <w:spacing w:lineRule="auto" w:line="360" w:before="0" w:after="200"/>
        <w:ind w:left="0" w:right="0" w:hanging="0"/>
        <w:jc w:val="both"/>
        <w:rPr>
          <w:rFonts w:ascii="Arial" w:hAnsi="Arial" w:eastAsia="Times New Roman" w:cs="Arial"/>
          <w:color w:val="000000"/>
          <w:sz w:val="24"/>
          <w:szCs w:val="24"/>
          <w:lang w:eastAsia="pt-BR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</w:r>
    </w:p>
    <w:p>
      <w:pPr>
        <w:pStyle w:val="Normal"/>
        <w:widowControl w:val="false"/>
        <w:tabs>
          <w:tab w:val="left" w:pos="720" w:leader="none"/>
        </w:tabs>
        <w:bidi w:val="0"/>
        <w:spacing w:lineRule="auto" w:line="360" w:before="0" w:after="200"/>
        <w:ind w:left="0" w:right="0" w:hanging="0"/>
        <w:jc w:val="both"/>
        <w:rPr>
          <w:rFonts w:ascii="Arial" w:hAnsi="Arial" w:eastAsia="Times New Roman" w:cs="Arial"/>
          <w:color w:val="000000"/>
          <w:sz w:val="24"/>
          <w:szCs w:val="24"/>
          <w:lang w:eastAsia="pt-BR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</w:r>
    </w:p>
    <w:p>
      <w:pPr>
        <w:pStyle w:val="Normal"/>
        <w:widowControl w:val="false"/>
        <w:tabs>
          <w:tab w:val="left" w:pos="720" w:leader="none"/>
        </w:tabs>
        <w:bidi w:val="0"/>
        <w:spacing w:lineRule="auto" w:line="360" w:before="0" w:after="200"/>
        <w:ind w:left="0" w:right="0" w:hanging="0"/>
        <w:jc w:val="both"/>
        <w:rPr>
          <w:rFonts w:ascii="Arial" w:hAnsi="Arial" w:eastAsia="Times New Roman" w:cs="Arial"/>
          <w:color w:val="000000"/>
          <w:sz w:val="24"/>
          <w:szCs w:val="24"/>
          <w:lang w:eastAsia="pt-BR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</w:r>
    </w:p>
    <w:p>
      <w:pPr>
        <w:pStyle w:val="Normal"/>
        <w:widowControl w:val="false"/>
        <w:tabs>
          <w:tab w:val="left" w:pos="720" w:leader="none"/>
        </w:tabs>
        <w:bidi w:val="0"/>
        <w:spacing w:lineRule="auto" w:line="360" w:before="0" w:after="200"/>
        <w:ind w:left="0" w:right="0" w:hanging="0"/>
        <w:jc w:val="both"/>
        <w:rPr>
          <w:rFonts w:ascii="Arial" w:hAnsi="Arial" w:eastAsia="Times New Roman" w:cs="Arial"/>
          <w:color w:val="000000"/>
          <w:sz w:val="24"/>
          <w:szCs w:val="24"/>
          <w:lang w:eastAsia="pt-BR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</w:r>
    </w:p>
    <w:p>
      <w:pPr>
        <w:pStyle w:val="Normal"/>
        <w:widowControl w:val="false"/>
        <w:tabs>
          <w:tab w:val="left" w:pos="720" w:leader="none"/>
        </w:tabs>
        <w:bidi w:val="0"/>
        <w:spacing w:lineRule="auto" w:line="360" w:before="0" w:after="200"/>
        <w:ind w:left="0" w:right="0" w:hanging="0"/>
        <w:jc w:val="both"/>
        <w:rPr>
          <w:rFonts w:ascii="Arial" w:hAnsi="Arial" w:eastAsia="Times New Roman" w:cs="Arial"/>
          <w:color w:val="000000"/>
          <w:sz w:val="24"/>
          <w:szCs w:val="24"/>
          <w:lang w:eastAsia="pt-BR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</w:r>
    </w:p>
    <w:p>
      <w:pPr>
        <w:pStyle w:val="Normal"/>
        <w:widowControl w:val="false"/>
        <w:tabs>
          <w:tab w:val="left" w:pos="720" w:leader="none"/>
        </w:tabs>
        <w:bidi w:val="0"/>
        <w:spacing w:lineRule="auto" w:line="360" w:before="0" w:after="200"/>
        <w:ind w:left="0" w:right="0" w:hanging="0"/>
        <w:jc w:val="both"/>
        <w:rPr>
          <w:rFonts w:ascii="Arial" w:hAnsi="Arial" w:eastAsia="Times New Roman" w:cs="Arial"/>
          <w:color w:val="000000"/>
          <w:sz w:val="24"/>
          <w:szCs w:val="24"/>
          <w:lang w:eastAsia="pt-BR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</w:r>
    </w:p>
    <w:p>
      <w:pPr>
        <w:pStyle w:val="Normal"/>
        <w:widowControl w:val="false"/>
        <w:tabs>
          <w:tab w:val="left" w:pos="720" w:leader="none"/>
        </w:tabs>
        <w:bidi w:val="0"/>
        <w:spacing w:lineRule="auto" w:line="360" w:before="0" w:after="200"/>
        <w:ind w:left="0" w:right="0" w:hanging="0"/>
        <w:jc w:val="both"/>
        <w:rPr>
          <w:rFonts w:ascii="Arial" w:hAnsi="Arial" w:eastAsia="Times New Roman" w:cs="Arial"/>
          <w:color w:val="000000"/>
          <w:sz w:val="24"/>
          <w:szCs w:val="24"/>
          <w:lang w:eastAsia="pt-BR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</w:r>
    </w:p>
    <w:p>
      <w:pPr>
        <w:pStyle w:val="Normal"/>
        <w:widowControl w:val="false"/>
        <w:tabs>
          <w:tab w:val="left" w:pos="720" w:leader="none"/>
        </w:tabs>
        <w:bidi w:val="0"/>
        <w:spacing w:lineRule="auto" w:line="360" w:before="0" w:after="200"/>
        <w:ind w:left="0" w:right="0" w:hanging="0"/>
        <w:jc w:val="both"/>
        <w:rPr>
          <w:rFonts w:ascii="Arial" w:hAnsi="Arial" w:eastAsia="Times New Roman" w:cs="Arial"/>
          <w:color w:val="000000"/>
          <w:sz w:val="24"/>
          <w:szCs w:val="24"/>
          <w:lang w:eastAsia="pt-BR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</w:r>
    </w:p>
    <w:p>
      <w:pPr>
        <w:pStyle w:val="Normal"/>
        <w:widowControl w:val="false"/>
        <w:tabs>
          <w:tab w:val="left" w:pos="720" w:leader="none"/>
        </w:tabs>
        <w:bidi w:val="0"/>
        <w:spacing w:lineRule="auto" w:line="360" w:before="0" w:after="200"/>
        <w:ind w:left="0" w:right="0" w:hanging="0"/>
        <w:jc w:val="both"/>
        <w:rPr>
          <w:rFonts w:ascii="Arial" w:hAnsi="Arial" w:cs="Arial"/>
          <w:b w:val="false"/>
          <w:b w:val="false"/>
          <w:bCs w:val="false"/>
          <w:sz w:val="20"/>
          <w:szCs w:val="20"/>
          <w:highlight w:val="yellow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4"/>
          <w:szCs w:val="24"/>
          <w:lang w:eastAsia="pt-BR"/>
        </w:rPr>
        <w:t>4. Referências</w:t>
      </w:r>
    </w:p>
    <w:p>
      <w:pPr>
        <w:pStyle w:val="Normal"/>
        <w:widowControl w:val="false"/>
        <w:tabs>
          <w:tab w:val="left" w:pos="720" w:leader="none"/>
        </w:tabs>
        <w:bidi w:val="0"/>
        <w:spacing w:lineRule="auto" w:line="360" w:before="0" w:after="200"/>
        <w:ind w:left="0" w:right="0" w:hanging="0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4"/>
          <w:szCs w:val="24"/>
          <w:lang w:eastAsia="pt-BR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4"/>
          <w:szCs w:val="24"/>
          <w:lang w:eastAsia="pt-BR"/>
        </w:rPr>
      </w:r>
    </w:p>
    <w:p>
      <w:pPr>
        <w:pStyle w:val="Normal"/>
        <w:widowControl w:val="false"/>
        <w:tabs>
          <w:tab w:val="left" w:pos="720" w:leader="none"/>
        </w:tabs>
        <w:bidi w:val="0"/>
        <w:spacing w:lineRule="auto" w:line="360" w:before="0" w:after="200"/>
        <w:ind w:left="0" w:right="0" w:hanging="0"/>
        <w:jc w:val="both"/>
        <w:rPr/>
      </w:pPr>
      <w:r>
        <w:rPr>
          <w:rFonts w:eastAsia="Times New Roman" w:cs="Arial" w:ascii="Arial" w:hAnsi="Arial"/>
          <w:b w:val="false"/>
          <w:bCs w:val="false"/>
          <w:color w:val="000000"/>
          <w:sz w:val="24"/>
          <w:szCs w:val="24"/>
          <w:lang w:eastAsia="pt-BR"/>
        </w:rPr>
        <w:t xml:space="preserve">UFSM – UNIVERSIDADE FEDERAL DE SANTA MARIA. </w:t>
      </w:r>
      <w:r>
        <w:rPr>
          <w:rFonts w:eastAsia="Times New Roman" w:cs="Arial" w:ascii="Arial" w:hAnsi="Arial"/>
          <w:b/>
          <w:bCs w:val="false"/>
          <w:color w:val="000000"/>
          <w:sz w:val="24"/>
          <w:szCs w:val="24"/>
          <w:lang w:eastAsia="pt-BR"/>
        </w:rPr>
        <w:t>Plano de Desenvolvimento Institucional (PDI 2016-2026)</w:t>
      </w:r>
      <w:r>
        <w:rPr>
          <w:rFonts w:eastAsia="Times New Roman" w:cs="Arial" w:ascii="Arial" w:hAnsi="Arial"/>
          <w:b w:val="false"/>
          <w:bCs w:val="false"/>
          <w:color w:val="000000"/>
          <w:sz w:val="24"/>
          <w:szCs w:val="24"/>
          <w:lang w:eastAsia="pt-BR"/>
        </w:rPr>
        <w:t>. Santa Maria: UFSM, 2016.</w:t>
      </w:r>
    </w:p>
    <w:p>
      <w:pPr>
        <w:pStyle w:val="Normal"/>
        <w:widowControl w:val="false"/>
        <w:tabs>
          <w:tab w:val="left" w:pos="720" w:leader="none"/>
        </w:tabs>
        <w:bidi w:val="0"/>
        <w:spacing w:lineRule="auto" w:line="360" w:before="0" w:after="200"/>
        <w:ind w:left="0" w:right="0" w:hanging="0"/>
        <w:jc w:val="both"/>
        <w:rPr/>
      </w:pPr>
      <w:r>
        <w:rPr>
          <w:rFonts w:eastAsia="Times New Roman" w:cs="Arial" w:ascii="Arial" w:hAnsi="Arial"/>
          <w:b w:val="false"/>
          <w:bCs w:val="false"/>
          <w:color w:val="000000"/>
          <w:sz w:val="24"/>
          <w:szCs w:val="24"/>
          <w:lang w:eastAsia="pt-BR"/>
        </w:rPr>
        <w:t>PDU CCSH.</w:t>
      </w:r>
    </w:p>
    <w:p>
      <w:pPr>
        <w:pStyle w:val="Normal"/>
        <w:widowControl w:val="false"/>
        <w:tabs>
          <w:tab w:val="left" w:pos="720" w:leader="none"/>
        </w:tabs>
        <w:bidi w:val="0"/>
        <w:spacing w:lineRule="auto" w:line="360" w:before="0" w:after="200"/>
        <w:ind w:left="0" w:right="0" w:hanging="0"/>
        <w:jc w:val="both"/>
        <w:rPr/>
      </w:pPr>
      <w:r>
        <w:rPr>
          <w:rFonts w:eastAsia="Times New Roman" w:cs="Arial" w:ascii="Arial" w:hAnsi="Arial"/>
          <w:b w:val="false"/>
          <w:bCs w:val="false"/>
          <w:color w:val="000000"/>
          <w:sz w:val="24"/>
          <w:szCs w:val="24"/>
          <w:lang w:eastAsia="pt-BR"/>
        </w:rPr>
        <w:t>Plano de gestão UFSM.</w:t>
      </w:r>
    </w:p>
    <w:p>
      <w:pPr>
        <w:pStyle w:val="Normal"/>
        <w:widowControl w:val="false"/>
        <w:tabs>
          <w:tab w:val="left" w:pos="720" w:leader="none"/>
        </w:tabs>
        <w:bidi w:val="0"/>
        <w:spacing w:lineRule="auto" w:line="360" w:before="0" w:after="200"/>
        <w:ind w:left="0" w:right="0" w:hanging="0"/>
        <w:jc w:val="both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Roboto">
    <w:altName w:val="RobotoDraft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)"/>
      <w:lvlJc w:val="left"/>
      <w:pPr>
        <w:ind w:left="786" w:hanging="360"/>
      </w:pPr>
      <w:rPr>
        <w:sz w:val="24"/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Tahoma"/>
      <w:color w:val="00000A"/>
      <w:sz w:val="22"/>
      <w:szCs w:val="22"/>
      <w:lang w:val="pt-BR" w:eastAsia="en-US" w:bidi="ar-SA"/>
    </w:rPr>
  </w:style>
  <w:style w:type="paragraph" w:styleId="Ttulo3">
    <w:name w:val="Heading 3"/>
    <w:basedOn w:val="Ttulododocumento"/>
    <w:qFormat/>
    <w:pPr>
      <w:outlineLvl w:val="2"/>
    </w:pPr>
    <w:rPr/>
  </w:style>
  <w:style w:type="paragraph" w:styleId="Ttulo4">
    <w:name w:val="Heading 4"/>
    <w:basedOn w:val="Ttulo"/>
    <w:qFormat/>
    <w:pPr>
      <w:keepNext/>
      <w:widowControl w:val="false"/>
      <w:bidi w:val="0"/>
      <w:spacing w:lineRule="auto" w:line="360" w:before="10" w:after="10"/>
      <w:jc w:val="both"/>
      <w:outlineLvl w:val="3"/>
    </w:pPr>
    <w:rPr>
      <w:rFonts w:ascii="Arial" w:hAnsi="Arial" w:eastAsia="Times New Roman" w:cs="Arial"/>
      <w:sz w:val="22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 w:customStyle="1">
    <w:name w:val="Link da Internet"/>
    <w:rPr>
      <w:color w:val="000080"/>
      <w:u w:val="single"/>
    </w:rPr>
  </w:style>
  <w:style w:type="character" w:styleId="Smbolosdenumerao" w:customStyle="1">
    <w:name w:val="Símbolos de numeração"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a43bcb"/>
    <w:rPr>
      <w:rFonts w:ascii="Tahoma" w:hAnsi="Tahoma"/>
      <w:color w:val="00000A"/>
      <w:sz w:val="16"/>
      <w:szCs w:val="16"/>
    </w:rPr>
  </w:style>
  <w:style w:type="character" w:styleId="ListLabel1">
    <w:name w:val="ListLabel 1"/>
    <w:qFormat/>
    <w:rPr>
      <w:rFonts w:eastAsia="Times New Roman"/>
      <w:color w:val="00000A"/>
      <w:u w:val="single"/>
    </w:rPr>
  </w:style>
  <w:style w:type="character" w:styleId="ListLabel2">
    <w:name w:val="ListLabel 2"/>
    <w:qFormat/>
    <w:rPr>
      <w:u w:val="none"/>
    </w:rPr>
  </w:style>
  <w:style w:type="character" w:styleId="ListLabel3">
    <w:name w:val="ListLabel 3"/>
    <w:qFormat/>
    <w:rPr>
      <w:rFonts w:ascii="Arial" w:hAnsi="Arial" w:cs="Arial"/>
      <w:sz w:val="24"/>
    </w:rPr>
  </w:style>
  <w:style w:type="character" w:styleId="ListLabel4">
    <w:name w:val="ListLabel 4"/>
    <w:qFormat/>
    <w:rPr>
      <w:u w:val="single"/>
    </w:rPr>
  </w:style>
  <w:style w:type="character" w:styleId="ListLabel5">
    <w:name w:val="ListLabel 5"/>
    <w:qFormat/>
    <w:rPr>
      <w:rFonts w:ascii="Arial" w:hAnsi="Arial" w:cs="Arial"/>
      <w:sz w:val="24"/>
    </w:rPr>
  </w:style>
  <w:style w:type="character" w:styleId="ListLabel6">
    <w:name w:val="ListLabel 6"/>
    <w:qFormat/>
    <w:rPr>
      <w:rFonts w:ascii="Arial" w:hAnsi="Arial" w:cs="Arial"/>
      <w:sz w:val="24"/>
    </w:rPr>
  </w:style>
  <w:style w:type="character" w:styleId="ListLabel7">
    <w:name w:val="ListLabel 7"/>
    <w:qFormat/>
    <w:rPr>
      <w:rFonts w:ascii="Arial" w:hAnsi="Arial" w:cs="Arial"/>
      <w:sz w:val="24"/>
    </w:rPr>
  </w:style>
  <w:style w:type="character" w:styleId="ListLabel8">
    <w:name w:val="ListLabel 8"/>
    <w:qFormat/>
    <w:rPr>
      <w:rFonts w:ascii="Arial" w:hAnsi="Arial" w:cs="Arial"/>
      <w:sz w:val="24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Ttulododocumento">
    <w:name w:val="Title"/>
    <w:basedOn w:val="Normal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ontedodatabela" w:customStyle="1">
    <w:name w:val="Conteúdo da tabela"/>
    <w:basedOn w:val="Normal"/>
    <w:qFormat/>
    <w:pPr/>
    <w:rPr/>
  </w:style>
  <w:style w:type="paragraph" w:styleId="Ttulodetabela" w:customStyle="1">
    <w:name w:val="Título de tabela"/>
    <w:basedOn w:val="Contedodatabela"/>
    <w:qFormat/>
    <w:pPr/>
    <w:rPr/>
  </w:style>
  <w:style w:type="paragraph" w:styleId="Standard" w:customStyle="1">
    <w:name w:val="Standard"/>
    <w:qFormat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NSimSun" w:cs="Mangal"/>
      <w:color w:val="00000A"/>
      <w:sz w:val="24"/>
      <w:szCs w:val="24"/>
      <w:lang w:val="pt-BR" w:eastAsia="zh-CN" w:bidi="hi-IN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a43bcb"/>
    <w:pPr>
      <w:spacing w:lineRule="auto" w:line="240" w:before="0" w:after="0"/>
    </w:pPr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4420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gif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wmf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wmf"/><Relationship Id="rId10" Type="http://schemas.openxmlformats.org/officeDocument/2006/relationships/image" Target="media/image9.wmf"/><Relationship Id="rId11" Type="http://schemas.openxmlformats.org/officeDocument/2006/relationships/image" Target="media/image10.png"/><Relationship Id="rId12" Type="http://schemas.openxmlformats.org/officeDocument/2006/relationships/image" Target="media/image11.png"/><Relationship Id="rId13" Type="http://schemas.openxmlformats.org/officeDocument/2006/relationships/image" Target="media/image12.wmf"/><Relationship Id="rId14" Type="http://schemas.openxmlformats.org/officeDocument/2006/relationships/image" Target="media/image13.wmf"/><Relationship Id="rId15" Type="http://schemas.openxmlformats.org/officeDocument/2006/relationships/image" Target="media/image14.png"/><Relationship Id="rId16" Type="http://schemas.openxmlformats.org/officeDocument/2006/relationships/image" Target="media/image15.png"/><Relationship Id="rId17" Type="http://schemas.openxmlformats.org/officeDocument/2006/relationships/oleObject" Target="embeddings/oleObject1.bin"/><Relationship Id="rId18" Type="http://schemas.openxmlformats.org/officeDocument/2006/relationships/image" Target="media/image16.emf"/><Relationship Id="rId19" Type="http://schemas.openxmlformats.org/officeDocument/2006/relationships/oleObject" Target="embeddings/oleObject2.bin"/><Relationship Id="rId20" Type="http://schemas.openxmlformats.org/officeDocument/2006/relationships/image" Target="media/image17.emf"/><Relationship Id="rId21" Type="http://schemas.openxmlformats.org/officeDocument/2006/relationships/oleObject" Target="embeddings/oleObject3.bin"/><Relationship Id="rId22" Type="http://schemas.openxmlformats.org/officeDocument/2006/relationships/image" Target="media/image18.emf"/><Relationship Id="rId23" Type="http://schemas.openxmlformats.org/officeDocument/2006/relationships/chart" Target="charts/chart1.xml"/><Relationship Id="rId24" Type="http://schemas.openxmlformats.org/officeDocument/2006/relationships/chart" Target="charts/chart2.xml"/><Relationship Id="rId25" Type="http://schemas.openxmlformats.org/officeDocument/2006/relationships/chart" Target="charts/chart3.xml"/><Relationship Id="rId26" Type="http://schemas.openxmlformats.org/officeDocument/2006/relationships/numbering" Target="numbering.xml"/><Relationship Id="rId27" Type="http://schemas.openxmlformats.org/officeDocument/2006/relationships/fontTable" Target="fontTable.xml"/><Relationship Id="rId28" Type="http://schemas.openxmlformats.org/officeDocument/2006/relationships/settings" Target="settings.xml"/><Relationship Id="rId29" Type="http://schemas.openxmlformats.org/officeDocument/2006/relationships/theme" Target="theme/theme1.xml"/>
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view3D>
      <c:rotX val="15"/>
      <c:rotY val="20"/>
      <c:rAngAx val="1"/>
      <c:perspective val="30"/>
    </c:view3D>
    <c:floor>
      <c:spPr>
        <a:noFill/>
        <a:ln w="9360">
          <a:solidFill>
            <a:srgbClr val="878787"/>
          </a:solidFill>
          <a:round/>
        </a:ln>
      </c:spPr>
    </c:floor>
    <c:backWall>
      <c:spPr>
        <a:noFill/>
        <a:ln w="9360">
          <a:solidFill>
            <a:srgbClr val="878787"/>
          </a:solidFill>
          <a:round/>
        </a:ln>
      </c:spPr>
    </c:backWall>
    <c:plotArea>
      <c:bar3D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INGRESSANTES</c:v>
                </c:pt>
              </c:strCache>
            </c:strRef>
          </c:tx>
          <c:spPr>
            <a:solidFill>
              <a:srgbClr val="4f81bd"/>
            </a:solidFill>
            <a:ln>
              <a:noFill/>
            </a:ln>
          </c:spPr>
          <c:invertIfNegative val="0"/>
          <c:dLbls>
            <c:showLegendKey val="0"/>
            <c:showVal val="0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7"/>
                <c:pt idx="0">
                  <c:v/>
                </c:pt>
                <c:pt idx="1">
                  <c:v/>
                </c:pt>
                <c:pt idx="2">
                  <c:v/>
                </c:pt>
                <c:pt idx="3">
                  <c:v/>
                </c:pt>
                <c:pt idx="4">
                  <c:v/>
                </c:pt>
                <c:pt idx="5">
                  <c:v/>
                </c:pt>
                <c:pt idx="6">
                  <c:v/>
                </c:pt>
              </c:strCache>
            </c:strRef>
          </c:cat>
          <c:val>
            <c:numRef>
              <c:f>0</c:f>
              <c:numCache>
                <c:formatCode>General</c:formatCode>
                <c:ptCount val="7"/>
                <c:pt idx="0">
                  <c:v>18</c:v>
                </c:pt>
                <c:pt idx="1">
                  <c:v>16</c:v>
                </c:pt>
                <c:pt idx="2">
                  <c:v>23</c:v>
                </c:pt>
                <c:pt idx="3">
                  <c:v>15</c:v>
                </c:pt>
                <c:pt idx="4">
                  <c:v>15</c:v>
                </c:pt>
                <c:pt idx="5">
                  <c:v>12</c:v>
                </c:pt>
                <c:pt idx="6">
                  <c:v>99</c:v>
                </c:pt>
              </c:numCache>
            </c:numRef>
          </c:val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FORMADOS</c:v>
                </c:pt>
              </c:strCache>
            </c:strRef>
          </c:tx>
          <c:spPr>
            <a:solidFill>
              <a:srgbClr val="c0504d"/>
            </a:solidFill>
            <a:ln>
              <a:noFill/>
            </a:ln>
          </c:spPr>
          <c:invertIfNegative val="0"/>
          <c:dLbls>
            <c:showLegendKey val="0"/>
            <c:showVal val="0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7"/>
                <c:pt idx="0">
                  <c:v/>
                </c:pt>
                <c:pt idx="1">
                  <c:v/>
                </c:pt>
                <c:pt idx="2">
                  <c:v/>
                </c:pt>
                <c:pt idx="3">
                  <c:v/>
                </c:pt>
                <c:pt idx="4">
                  <c:v/>
                </c:pt>
                <c:pt idx="5">
                  <c:v/>
                </c:pt>
                <c:pt idx="6">
                  <c:v/>
                </c:pt>
              </c:strCache>
            </c:strRef>
          </c:cat>
          <c:val>
            <c:numRef>
              <c:f>1</c:f>
              <c:numCache>
                <c:formatCode>General</c:formatCode>
                <c:ptCount val="7"/>
                <c:pt idx="0">
                  <c:v>18</c:v>
                </c:pt>
                <c:pt idx="1">
                  <c:v>10</c:v>
                </c:pt>
                <c:pt idx="2">
                  <c:v>13</c:v>
                </c:pt>
                <c:pt idx="3">
                  <c:v>10</c:v>
                </c:pt>
                <c:pt idx="4">
                  <c:v>18</c:v>
                </c:pt>
                <c:pt idx="5">
                  <c:v>4</c:v>
                </c:pt>
                <c:pt idx="6">
                  <c:v>73</c:v>
                </c:pt>
              </c:numCache>
            </c:numRef>
          </c:val>
        </c:ser>
        <c:gapWidth val="150"/>
        <c:shape val="box"/>
        <c:axId val="73636018"/>
        <c:axId val="10700770"/>
        <c:axId val="0"/>
      </c:bar3DChart>
      <c:catAx>
        <c:axId val="73636018"/>
        <c:scaling>
          <c:orientation val="minMax"/>
        </c:scaling>
        <c:delete val="0"/>
        <c:axPos val="b"/>
        <c:numFmt formatCode="DD/MM/YYYY" sourceLinked="1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p>
            <a:pPr>
              <a:defRPr b="0" sz="1000" spc="-1" strike="noStrike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Calibri"/>
              </a:defRPr>
            </a:pPr>
          </a:p>
        </c:txPr>
        <c:crossAx val="10700770"/>
        <c:crosses val="autoZero"/>
        <c:auto val="1"/>
        <c:lblAlgn val="ctr"/>
        <c:lblOffset val="100"/>
      </c:catAx>
      <c:valAx>
        <c:axId val="10700770"/>
        <c:scaling>
          <c:orientation val="minMax"/>
        </c:scaling>
        <c:delete val="0"/>
        <c:axPos val="l"/>
        <c:majorGridlines>
          <c:spPr>
            <a:ln w="9360">
              <a:solidFill>
                <a:srgbClr val="878787"/>
              </a:solidFill>
              <a:round/>
            </a:ln>
          </c:spPr>
        </c:majorGridlines>
        <c:numFmt formatCode="General" sourceLinked="0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p>
            <a:pPr>
              <a:defRPr b="0" sz="1000" spc="-1" strike="noStrike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Calibri"/>
              </a:defRPr>
            </a:pPr>
          </a:p>
        </c:txPr>
        <c:crossAx val="73636018"/>
        <c:crosses val="autoZero"/>
        <c:majorUnit val="5"/>
      </c:valAx>
      <c:spPr>
        <a:noFill/>
        <a:ln w="9360">
          <a:solidFill>
            <a:srgbClr val="878787"/>
          </a:solidFill>
          <a:round/>
        </a:ln>
      </c:spPr>
    </c:plotArea>
    <c:legend>
      <c:legendPos val="r"/>
      <c:overlay val="0"/>
      <c:spPr>
        <a:noFill/>
        <a:ln>
          <a:noFill/>
        </a:ln>
      </c:spPr>
    </c:legend>
    <c:plotVisOnly val="1"/>
    <c:dispBlanksAs val="gap"/>
  </c:chart>
  <c:spPr>
    <a:solidFill>
      <a:srgbClr val="ffffff"/>
    </a:solidFill>
    <a:ln>
      <a:noFill/>
    </a:ln>
  </c:spPr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view3D>
      <c:rotX val="15"/>
      <c:rotY val="20"/>
      <c:rAngAx val="1"/>
      <c:perspective val="30"/>
    </c:view3D>
    <c:floor>
      <c:spPr>
        <a:noFill/>
        <a:ln w="9360">
          <a:solidFill>
            <a:srgbClr val="878787"/>
          </a:solidFill>
          <a:round/>
        </a:ln>
      </c:spPr>
    </c:floor>
    <c:backWall>
      <c:spPr>
        <a:noFill/>
        <a:ln w="9360">
          <a:solidFill>
            <a:srgbClr val="878787"/>
          </a:solidFill>
          <a:round/>
        </a:ln>
      </c:spPr>
    </c:backWall>
    <c:plotArea>
      <c:bar3D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INGRESSANTES</c:v>
                </c:pt>
              </c:strCache>
            </c:strRef>
          </c:tx>
          <c:spPr>
            <a:solidFill>
              <a:srgbClr val="4f81bd"/>
            </a:solidFill>
            <a:ln>
              <a:noFill/>
            </a:ln>
          </c:spPr>
          <c:invertIfNegative val="0"/>
          <c:dLbls>
            <c:showLegendKey val="0"/>
            <c:showVal val="0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7"/>
                <c:pt idx="0">
                  <c:v/>
                </c:pt>
                <c:pt idx="1">
                  <c:v/>
                </c:pt>
                <c:pt idx="2">
                  <c:v/>
                </c:pt>
                <c:pt idx="3">
                  <c:v/>
                </c:pt>
                <c:pt idx="4">
                  <c:v/>
                </c:pt>
                <c:pt idx="5">
                  <c:v/>
                </c:pt>
                <c:pt idx="6">
                  <c:v/>
                </c:pt>
              </c:strCache>
            </c:strRef>
          </c:cat>
          <c:val>
            <c:numRef>
              <c:f>0</c:f>
              <c:numCache>
                <c:formatCode>General</c:formatCode>
                <c:ptCount val="7"/>
                <c:pt idx="0">
                  <c:v>20</c:v>
                </c:pt>
                <c:pt idx="1">
                  <c:v>26</c:v>
                </c:pt>
                <c:pt idx="2">
                  <c:v>28</c:v>
                </c:pt>
                <c:pt idx="3">
                  <c:v>30</c:v>
                </c:pt>
                <c:pt idx="4">
                  <c:v>13</c:v>
                </c:pt>
                <c:pt idx="5">
                  <c:v>13</c:v>
                </c:pt>
                <c:pt idx="6">
                  <c:v>130</c:v>
                </c:pt>
              </c:numCache>
            </c:numRef>
          </c:val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FORMADOS</c:v>
                </c:pt>
              </c:strCache>
            </c:strRef>
          </c:tx>
          <c:spPr>
            <a:solidFill>
              <a:srgbClr val="c0504d"/>
            </a:solidFill>
            <a:ln>
              <a:noFill/>
            </a:ln>
          </c:spPr>
          <c:invertIfNegative val="0"/>
          <c:dLbls>
            <c:showLegendKey val="0"/>
            <c:showVal val="0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7"/>
                <c:pt idx="0">
                  <c:v/>
                </c:pt>
                <c:pt idx="1">
                  <c:v/>
                </c:pt>
                <c:pt idx="2">
                  <c:v/>
                </c:pt>
                <c:pt idx="3">
                  <c:v/>
                </c:pt>
                <c:pt idx="4">
                  <c:v/>
                </c:pt>
                <c:pt idx="5">
                  <c:v/>
                </c:pt>
                <c:pt idx="6">
                  <c:v/>
                </c:pt>
              </c:strCache>
            </c:strRef>
          </c:cat>
          <c:val>
            <c:numRef>
              <c:f>1</c:f>
              <c:numCache>
                <c:formatCode>General</c:formatCode>
                <c:ptCount val="7"/>
                <c:pt idx="0">
                  <c:v>10</c:v>
                </c:pt>
                <c:pt idx="1">
                  <c:v>35</c:v>
                </c:pt>
                <c:pt idx="2">
                  <c:v>25</c:v>
                </c:pt>
                <c:pt idx="3">
                  <c:v>5</c:v>
                </c:pt>
                <c:pt idx="4">
                  <c:v>27</c:v>
                </c:pt>
                <c:pt idx="5">
                  <c:v>6</c:v>
                </c:pt>
                <c:pt idx="6">
                  <c:v>108</c:v>
                </c:pt>
              </c:numCache>
            </c:numRef>
          </c:val>
        </c:ser>
        <c:gapWidth val="150"/>
        <c:shape val="box"/>
        <c:axId val="57545725"/>
        <c:axId val="61755647"/>
        <c:axId val="0"/>
      </c:bar3DChart>
      <c:catAx>
        <c:axId val="57545725"/>
        <c:scaling>
          <c:orientation val="minMax"/>
        </c:scaling>
        <c:delete val="0"/>
        <c:axPos val="b"/>
        <c:numFmt formatCode="DD/MM/YYYY" sourceLinked="1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p>
            <a:pPr>
              <a:defRPr b="0" sz="1000" spc="-1" strike="noStrike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Calibri"/>
              </a:defRPr>
            </a:pPr>
          </a:p>
        </c:txPr>
        <c:crossAx val="61755647"/>
        <c:crosses val="autoZero"/>
        <c:auto val="1"/>
        <c:lblAlgn val="ctr"/>
        <c:lblOffset val="100"/>
      </c:catAx>
      <c:valAx>
        <c:axId val="61755647"/>
        <c:scaling>
          <c:orientation val="minMax"/>
        </c:scaling>
        <c:delete val="0"/>
        <c:axPos val="l"/>
        <c:majorGridlines>
          <c:spPr>
            <a:ln w="9360">
              <a:solidFill>
                <a:srgbClr val="878787"/>
              </a:solidFill>
              <a:round/>
            </a:ln>
          </c:spPr>
        </c:majorGridlines>
        <c:numFmt formatCode="General" sourceLinked="0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p>
            <a:pPr>
              <a:defRPr b="0" sz="1000" spc="-1" strike="noStrike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Calibri"/>
              </a:defRPr>
            </a:pPr>
          </a:p>
        </c:txPr>
        <c:crossAx val="57545725"/>
        <c:crosses val="autoZero"/>
        <c:majorUnit val="5"/>
      </c:valAx>
      <c:spPr>
        <a:noFill/>
        <a:ln w="9360">
          <a:solidFill>
            <a:srgbClr val="878787"/>
          </a:solidFill>
          <a:round/>
        </a:ln>
      </c:spPr>
    </c:plotArea>
    <c:legend>
      <c:legendPos val="r"/>
      <c:overlay val="0"/>
      <c:spPr>
        <a:noFill/>
        <a:ln>
          <a:noFill/>
        </a:ln>
      </c:spPr>
    </c:legend>
    <c:plotVisOnly val="1"/>
    <c:dispBlanksAs val="gap"/>
  </c:chart>
  <c:spPr>
    <a:solidFill>
      <a:srgbClr val="ffffff"/>
    </a:solidFill>
    <a:ln>
      <a:noFill/>
    </a:ln>
  </c:spPr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view3D>
      <c:rotX val="15"/>
      <c:rotY val="20"/>
      <c:rAngAx val="1"/>
      <c:perspective val="30"/>
    </c:view3D>
    <c:floor>
      <c:spPr>
        <a:noFill/>
        <a:ln w="9360">
          <a:solidFill>
            <a:srgbClr val="878787"/>
          </a:solidFill>
          <a:round/>
        </a:ln>
      </c:spPr>
    </c:floor>
    <c:backWall>
      <c:spPr>
        <a:noFill/>
        <a:ln w="9360">
          <a:solidFill>
            <a:srgbClr val="878787"/>
          </a:solidFill>
          <a:round/>
        </a:ln>
      </c:spPr>
    </c:backWall>
    <c:plotArea>
      <c:bar3D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INGRESSANTES</c:v>
                </c:pt>
              </c:strCache>
            </c:strRef>
          </c:tx>
          <c:spPr>
            <a:solidFill>
              <a:srgbClr val="4f81bd"/>
            </a:solidFill>
            <a:ln>
              <a:noFill/>
            </a:ln>
          </c:spPr>
          <c:invertIfNegative val="0"/>
          <c:dLbls>
            <c:showLegendKey val="0"/>
            <c:showVal val="0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7"/>
                <c:pt idx="0">
                  <c:v/>
                </c:pt>
                <c:pt idx="1">
                  <c:v/>
                </c:pt>
                <c:pt idx="2">
                  <c:v/>
                </c:pt>
                <c:pt idx="3">
                  <c:v/>
                </c:pt>
                <c:pt idx="4">
                  <c:v/>
                </c:pt>
                <c:pt idx="5">
                  <c:v/>
                </c:pt>
                <c:pt idx="6">
                  <c:v/>
                </c:pt>
              </c:strCache>
            </c:strRef>
          </c:cat>
          <c:val>
            <c:numRef>
              <c:f>0</c:f>
              <c:numCache>
                <c:formatCode>General</c:formatCode>
                <c:ptCount val="7"/>
                <c:pt idx="0">
                  <c:v>15</c:v>
                </c:pt>
                <c:pt idx="1">
                  <c:v>24</c:v>
                </c:pt>
                <c:pt idx="2">
                  <c:v>20</c:v>
                </c:pt>
                <c:pt idx="3">
                  <c:v>19</c:v>
                </c:pt>
                <c:pt idx="4">
                  <c:v>19</c:v>
                </c:pt>
                <c:pt idx="5">
                  <c:v>17</c:v>
                </c:pt>
                <c:pt idx="6">
                  <c:v>114</c:v>
                </c:pt>
              </c:numCache>
            </c:numRef>
          </c:val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FORMADOS</c:v>
                </c:pt>
              </c:strCache>
            </c:strRef>
          </c:tx>
          <c:spPr>
            <a:solidFill>
              <a:srgbClr val="c0504d"/>
            </a:solidFill>
            <a:ln>
              <a:noFill/>
            </a:ln>
          </c:spPr>
          <c:invertIfNegative val="0"/>
          <c:dLbls>
            <c:showLegendKey val="0"/>
            <c:showVal val="0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7"/>
                <c:pt idx="0">
                  <c:v/>
                </c:pt>
                <c:pt idx="1">
                  <c:v/>
                </c:pt>
                <c:pt idx="2">
                  <c:v/>
                </c:pt>
                <c:pt idx="3">
                  <c:v/>
                </c:pt>
                <c:pt idx="4">
                  <c:v/>
                </c:pt>
                <c:pt idx="5">
                  <c:v/>
                </c:pt>
                <c:pt idx="6">
                  <c:v/>
                </c:pt>
              </c:strCache>
            </c:strRef>
          </c:cat>
          <c:val>
            <c:numRef>
              <c:f>1</c:f>
              <c:numCache>
                <c:formatCode>General</c:formatCode>
                <c:ptCount val="7"/>
                <c:pt idx="0">
                  <c:v>0</c:v>
                </c:pt>
                <c:pt idx="1">
                  <c:v>1</c:v>
                </c:pt>
                <c:pt idx="2">
                  <c:v>14</c:v>
                </c:pt>
                <c:pt idx="3">
                  <c:v>21</c:v>
                </c:pt>
                <c:pt idx="4">
                  <c:v>21</c:v>
                </c:pt>
                <c:pt idx="5">
                  <c:v>5</c:v>
                </c:pt>
                <c:pt idx="6">
                  <c:v>62</c:v>
                </c:pt>
              </c:numCache>
            </c:numRef>
          </c:val>
        </c:ser>
        <c:gapWidth val="150"/>
        <c:shape val="box"/>
        <c:axId val="69326466"/>
        <c:axId val="62668026"/>
        <c:axId val="0"/>
      </c:bar3DChart>
      <c:catAx>
        <c:axId val="69326466"/>
        <c:scaling>
          <c:orientation val="minMax"/>
        </c:scaling>
        <c:delete val="0"/>
        <c:axPos val="b"/>
        <c:numFmt formatCode="DD/MM/YYYY" sourceLinked="1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p>
            <a:pPr>
              <a:defRPr b="0" sz="1000" spc="-1" strike="noStrike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Calibri"/>
              </a:defRPr>
            </a:pPr>
          </a:p>
        </c:txPr>
        <c:crossAx val="62668026"/>
        <c:crosses val="autoZero"/>
        <c:auto val="1"/>
        <c:lblAlgn val="ctr"/>
        <c:lblOffset val="100"/>
      </c:catAx>
      <c:valAx>
        <c:axId val="62668026"/>
        <c:scaling>
          <c:orientation val="minMax"/>
        </c:scaling>
        <c:delete val="0"/>
        <c:axPos val="l"/>
        <c:majorGridlines>
          <c:spPr>
            <a:ln w="9360">
              <a:solidFill>
                <a:srgbClr val="878787"/>
              </a:solidFill>
              <a:round/>
            </a:ln>
          </c:spPr>
        </c:majorGridlines>
        <c:numFmt formatCode="General" sourceLinked="0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p>
            <a:pPr>
              <a:defRPr b="0" sz="1000" spc="-1" strike="noStrike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Calibri"/>
              </a:defRPr>
            </a:pPr>
          </a:p>
        </c:txPr>
        <c:crossAx val="69326466"/>
        <c:crosses val="autoZero"/>
        <c:majorUnit val="5"/>
      </c:valAx>
      <c:spPr>
        <a:noFill/>
        <a:ln w="9360">
          <a:solidFill>
            <a:srgbClr val="878787"/>
          </a:solidFill>
          <a:round/>
        </a:ln>
      </c:spPr>
    </c:plotArea>
    <c:legend>
      <c:legendPos val="r"/>
      <c:overlay val="0"/>
      <c:spPr>
        <a:noFill/>
        <a:ln>
          <a:noFill/>
        </a:ln>
      </c:spPr>
    </c:legend>
    <c:plotVisOnly val="1"/>
    <c:dispBlanksAs val="gap"/>
  </c:chart>
  <c:spPr>
    <a:solidFill>
      <a:srgbClr val="ffffff"/>
    </a:solidFill>
    <a:ln>
      <a:noFill/>
    </a:ln>
  </c:spPr>
</c:chartSpace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Application>LibreOffice/5.2.3.3$Windows_x86 LibreOffice_project/d54a8868f08a7b39642414cf2c8ef2f228f780cf</Application>
  <Pages>47</Pages>
  <Words>8849</Words>
  <Characters>50930</Characters>
  <CharactersWithSpaces>59247</CharactersWithSpaces>
  <Paragraphs>664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2019-08-16T19:35:00Z</dcterms:created>
  <dc:creator>Windows User</dc:creator>
  <dc:description/>
  <dc:language>pt-BR</dc:language>
  <cp:lastModifiedBy/>
  <cp:lastPrinted>2019-07-11T14:47:00Z</cp:lastPrinted>
  <dcterms:modified xsi:type="dcterms:W3CDTF">2019-12-09T10:03:40Z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